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F3" w:rsidRPr="002539F3" w:rsidRDefault="002539F3" w:rsidP="002539F3">
      <w:pPr>
        <w:widowControl/>
        <w:jc w:val="center"/>
        <w:rPr>
          <w:rFonts w:ascii="宋体" w:eastAsia="宋体" w:hAnsi="宋体" w:cs="宋体"/>
          <w:kern w:val="0"/>
          <w:sz w:val="40"/>
          <w:szCs w:val="24"/>
        </w:rPr>
      </w:pPr>
      <w:r w:rsidRPr="002539F3">
        <w:rPr>
          <w:rFonts w:ascii="宋体" w:eastAsia="宋体" w:hAnsi="宋体" w:cs="宋体"/>
          <w:color w:val="000000"/>
          <w:kern w:val="0"/>
          <w:sz w:val="40"/>
          <w:szCs w:val="24"/>
        </w:rPr>
        <w:t>《核苷酸和/或氨基酸序列表和序列表电子文件标准》(局长令第15号)</w:t>
      </w:r>
    </w:p>
    <w:p w:rsidR="002539F3" w:rsidRPr="002539F3" w:rsidRDefault="002539F3" w:rsidP="002539F3">
      <w:pPr>
        <w:widowControl/>
        <w:jc w:val="center"/>
        <w:rPr>
          <w:rFonts w:ascii="宋体" w:eastAsia="宋体" w:hAnsi="宋体" w:cs="宋体"/>
          <w:kern w:val="0"/>
          <w:sz w:val="27"/>
          <w:szCs w:val="27"/>
        </w:rPr>
      </w:pPr>
      <w:r w:rsidRPr="002539F3">
        <w:rPr>
          <w:rFonts w:ascii="宋体" w:eastAsia="宋体" w:hAnsi="宋体" w:cs="宋体"/>
          <w:kern w:val="0"/>
          <w:sz w:val="27"/>
          <w:szCs w:val="27"/>
        </w:rPr>
        <w:t>[发布:2001.11.01 实施:2001.11.01 时效性:现行有效]</w:t>
      </w:r>
    </w:p>
    <w:p w:rsidR="002539F3" w:rsidRPr="002539F3" w:rsidRDefault="002539F3" w:rsidP="002539F3">
      <w:pPr>
        <w:widowControl/>
        <w:jc w:val="left"/>
        <w:rPr>
          <w:rFonts w:ascii="宋体" w:eastAsia="宋体" w:hAnsi="宋体" w:cs="宋体"/>
          <w:kern w:val="0"/>
          <w:sz w:val="24"/>
          <w:szCs w:val="24"/>
        </w:rPr>
      </w:pPr>
      <w:bookmarkStart w:id="0" w:name="_GoBack"/>
      <w:r>
        <w:rPr>
          <w:rFonts w:ascii="宋体" w:eastAsia="宋体"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106680</wp:posOffset>
                </wp:positionV>
                <wp:extent cx="5259600" cy="0"/>
                <wp:effectExtent l="0" t="0" r="36830" b="19050"/>
                <wp:wrapNone/>
                <wp:docPr id="1" name="直接连接符 1"/>
                <wp:cNvGraphicFramePr/>
                <a:graphic xmlns:a="http://schemas.openxmlformats.org/drawingml/2006/main">
                  <a:graphicData uri="http://schemas.microsoft.com/office/word/2010/wordprocessingShape">
                    <wps:wsp>
                      <wps:cNvCnPr/>
                      <wps:spPr>
                        <a:xfrm>
                          <a:off x="0" y="0"/>
                          <a:ext cx="52596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B0F09C"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41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" strokecolor="red" strokeweight=".5pt">
                <v:stroke joinstyle="miter"/>
              </v:line>
            </w:pict>
          </mc:Fallback>
        </mc:AlternateConten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2539F3" w:rsidRPr="002539F3" w:rsidTr="002539F3">
        <w:trPr>
          <w:tblCellSpacing w:w="0" w:type="dxa"/>
        </w:trPr>
        <w:tc>
          <w:tcPr>
            <w:tcW w:w="0" w:type="auto"/>
            <w:vAlign w:val="center"/>
            <w:hideMark/>
          </w:tcPr>
          <w:p w:rsidR="002539F3" w:rsidRPr="002539F3" w:rsidRDefault="002539F3" w:rsidP="002539F3">
            <w:pPr>
              <w:widowControl/>
              <w:spacing w:line="480" w:lineRule="auto"/>
              <w:jc w:val="center"/>
              <w:rPr>
                <w:rFonts w:ascii="宋体" w:eastAsia="宋体" w:hAnsi="宋体" w:cs="宋体"/>
                <w:kern w:val="0"/>
                <w:sz w:val="44"/>
                <w:szCs w:val="44"/>
              </w:rPr>
            </w:pPr>
            <w:r w:rsidRPr="002539F3">
              <w:rPr>
                <w:rFonts w:ascii="宋体" w:eastAsia="宋体" w:hAnsi="宋体" w:cs="宋体" w:hint="eastAsia"/>
                <w:kern w:val="0"/>
                <w:sz w:val="44"/>
                <w:szCs w:val="44"/>
              </w:rPr>
              <w:t>国家知识产权局局长令</w:t>
            </w:r>
          </w:p>
          <w:p w:rsidR="002539F3" w:rsidRPr="002539F3" w:rsidRDefault="002539F3" w:rsidP="002539F3">
            <w:pPr>
              <w:widowControl/>
              <w:spacing w:line="480" w:lineRule="auto"/>
              <w:jc w:val="center"/>
              <w:rPr>
                <w:rFonts w:ascii="宋体" w:eastAsia="宋体" w:hAnsi="宋体" w:cs="宋体"/>
                <w:kern w:val="0"/>
                <w:sz w:val="24"/>
                <w:szCs w:val="24"/>
              </w:rPr>
            </w:pPr>
            <w:r w:rsidRPr="002539F3">
              <w:rPr>
                <w:rFonts w:ascii="宋体" w:eastAsia="宋体" w:hAnsi="宋体" w:cs="宋体" w:hint="eastAsia"/>
                <w:kern w:val="0"/>
                <w:sz w:val="24"/>
                <w:szCs w:val="24"/>
              </w:rPr>
              <w:t>第十五号</w:t>
            </w:r>
          </w:p>
          <w:p w:rsidR="002539F3" w:rsidRPr="002539F3" w:rsidRDefault="002539F3" w:rsidP="002539F3">
            <w:pPr>
              <w:widowControl/>
              <w:jc w:val="left"/>
              <w:rPr>
                <w:rFonts w:ascii="宋体" w:eastAsia="宋体" w:hAnsi="宋体" w:cs="宋体" w:hint="eastAsia"/>
                <w:kern w:val="0"/>
                <w:sz w:val="20"/>
                <w:szCs w:val="20"/>
              </w:rPr>
            </w:pPr>
            <w:r w:rsidRPr="002539F3">
              <w:rPr>
                <w:rFonts w:ascii="宋体" w:eastAsia="宋体" w:hAnsi="宋体" w:cs="宋体" w:hint="eastAsia"/>
                <w:kern w:val="0"/>
                <w:sz w:val="20"/>
                <w:szCs w:val="20"/>
              </w:rPr>
              <w:t> </w:t>
            </w:r>
          </w:p>
          <w:p w:rsidR="002539F3" w:rsidRPr="002539F3" w:rsidRDefault="002539F3" w:rsidP="002539F3">
            <w:pPr>
              <w:widowControl/>
              <w:spacing w:line="480" w:lineRule="auto"/>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 xml:space="preserve">　　根据中国专利行业标准在制定中要为社会公众服务、为国家宏观决策服务、为行业管理部门管理服务的指导思想，依据专利法实施细则第18条第4款的规定，特制定《核苷酸和/或氨基酸序列表和序列表电子文件标准》，现予公布，自二○○一年十一月一日起施行。</w:t>
            </w:r>
          </w:p>
          <w:p w:rsidR="002539F3" w:rsidRPr="002539F3" w:rsidRDefault="002539F3" w:rsidP="002539F3">
            <w:pPr>
              <w:widowControl/>
              <w:spacing w:before="100" w:beforeAutospacing="1" w:after="100" w:afterAutospacing="1" w:line="480" w:lineRule="auto"/>
              <w:jc w:val="right"/>
              <w:rPr>
                <w:rFonts w:ascii="宋体" w:eastAsia="宋体" w:hAnsi="宋体" w:cs="宋体"/>
                <w:kern w:val="0"/>
                <w:sz w:val="24"/>
                <w:szCs w:val="24"/>
              </w:rPr>
            </w:pPr>
            <w:r w:rsidRPr="002539F3">
              <w:rPr>
                <w:rFonts w:ascii="宋体" w:eastAsia="宋体" w:hAnsi="宋体" w:cs="宋体" w:hint="eastAsia"/>
                <w:kern w:val="0"/>
                <w:sz w:val="20"/>
                <w:szCs w:val="20"/>
              </w:rPr>
              <w:t>局 长  王景川</w:t>
            </w:r>
          </w:p>
          <w:p w:rsidR="002539F3" w:rsidRPr="002539F3" w:rsidRDefault="002539F3" w:rsidP="002539F3">
            <w:pPr>
              <w:widowControl/>
              <w:spacing w:before="100" w:beforeAutospacing="1" w:after="100" w:afterAutospacing="1"/>
              <w:jc w:val="right"/>
              <w:rPr>
                <w:rFonts w:ascii="宋体" w:eastAsia="宋体" w:hAnsi="宋体" w:cs="宋体"/>
                <w:kern w:val="0"/>
                <w:sz w:val="24"/>
                <w:szCs w:val="24"/>
              </w:rPr>
            </w:pPr>
            <w:r w:rsidRPr="002539F3">
              <w:rPr>
                <w:rFonts w:ascii="宋体" w:eastAsia="宋体" w:hAnsi="宋体" w:cs="宋体" w:hint="eastAsia"/>
                <w:kern w:val="0"/>
                <w:sz w:val="20"/>
                <w:szCs w:val="20"/>
              </w:rPr>
              <w:t>二○○一年十一月一日</w:t>
            </w:r>
          </w:p>
          <w:p w:rsidR="002539F3" w:rsidRPr="002539F3" w:rsidRDefault="002539F3" w:rsidP="002539F3">
            <w:pPr>
              <w:widowControl/>
              <w:jc w:val="left"/>
              <w:rPr>
                <w:rFonts w:ascii="宋体" w:eastAsia="宋体" w:hAnsi="宋体" w:cs="宋体"/>
                <w:kern w:val="0"/>
                <w:sz w:val="24"/>
                <w:szCs w:val="24"/>
              </w:rPr>
            </w:pPr>
            <w:r w:rsidRPr="002539F3">
              <w:rPr>
                <w:rFonts w:ascii="宋体" w:eastAsia="宋体" w:hAnsi="宋体" w:cs="宋体"/>
                <w:kern w:val="0"/>
                <w:sz w:val="24"/>
                <w:szCs w:val="24"/>
              </w:rPr>
              <w:pict>
                <v:rect id="_x0000_i1025" style="width:0;height:1.5pt" o:hralign="center" o:hrstd="t" o:hr="t" fillcolor="#a0a0a0" stroked="f"/>
              </w:pict>
            </w:r>
          </w:p>
          <w:p w:rsidR="002539F3" w:rsidRPr="002539F3" w:rsidRDefault="002539F3" w:rsidP="002539F3">
            <w:pPr>
              <w:widowControl/>
              <w:spacing w:before="100" w:beforeAutospacing="1" w:after="100" w:afterAutospacing="1"/>
              <w:jc w:val="right"/>
              <w:rPr>
                <w:rFonts w:ascii="宋体" w:eastAsia="宋体" w:hAnsi="宋体" w:cs="宋体"/>
                <w:kern w:val="0"/>
                <w:sz w:val="24"/>
                <w:szCs w:val="24"/>
              </w:rPr>
            </w:pPr>
            <w:r w:rsidRPr="002539F3">
              <w:rPr>
                <w:rFonts w:ascii="仿宋_GB2312" w:eastAsia="仿宋_GB2312" w:hAnsi="宋体" w:cs="宋体" w:hint="eastAsia"/>
                <w:b/>
                <w:bCs/>
                <w:kern w:val="0"/>
                <w:sz w:val="72"/>
                <w:szCs w:val="72"/>
              </w:rPr>
              <w:t>ZC</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b/>
                <w:bCs/>
                <w:kern w:val="0"/>
                <w:sz w:val="27"/>
                <w:szCs w:val="27"/>
              </w:rPr>
              <w:t>中华人民共和国知识产权行业标准</w:t>
            </w:r>
            <w:r w:rsidRPr="002539F3">
              <w:rPr>
                <w:rFonts w:ascii="仿宋_GB2312" w:eastAsia="仿宋_GB2312" w:hAnsi="宋体" w:cs="宋体" w:hint="eastAsia"/>
                <w:kern w:val="0"/>
                <w:sz w:val="24"/>
                <w:szCs w:val="24"/>
                <w:u w:val="single"/>
              </w:rPr>
              <w:br/>
            </w:r>
            <w:r w:rsidRPr="002539F3">
              <w:rPr>
                <w:rFonts w:ascii="仿宋_GB2312" w:eastAsia="仿宋_GB2312" w:hAnsi="宋体" w:cs="宋体" w:hint="eastAsia"/>
                <w:kern w:val="0"/>
                <w:sz w:val="24"/>
                <w:szCs w:val="24"/>
                <w:u w:val="single"/>
              </w:rPr>
              <w:t>                                        </w:t>
            </w:r>
            <w:r w:rsidRPr="002539F3">
              <w:rPr>
                <w:rFonts w:ascii="仿宋_GB2312" w:eastAsia="仿宋_GB2312" w:hAnsi="宋体" w:cs="宋体" w:hint="eastAsia"/>
                <w:kern w:val="0"/>
                <w:sz w:val="24"/>
                <w:szCs w:val="24"/>
                <w:u w:val="single"/>
              </w:rPr>
              <w:t xml:space="preserve"> </w:t>
            </w:r>
            <w:r w:rsidRPr="002539F3">
              <w:rPr>
                <w:rFonts w:ascii="仿宋_GB2312" w:eastAsia="仿宋_GB2312" w:hAnsi="宋体" w:cs="宋体" w:hint="eastAsia"/>
                <w:kern w:val="0"/>
                <w:sz w:val="24"/>
                <w:szCs w:val="24"/>
                <w:u w:val="single"/>
              </w:rPr>
              <w:t>   </w:t>
            </w:r>
            <w:r w:rsidRPr="002539F3">
              <w:rPr>
                <w:rFonts w:ascii="仿宋_GB2312" w:eastAsia="仿宋_GB2312" w:hAnsi="宋体" w:cs="宋体" w:hint="eastAsia"/>
                <w:kern w:val="0"/>
                <w:sz w:val="24"/>
                <w:szCs w:val="24"/>
                <w:u w:val="single"/>
              </w:rPr>
              <w:t xml:space="preserve"> ZC 0003—2001</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b/>
                <w:bCs/>
                <w:kern w:val="0"/>
                <w:sz w:val="27"/>
                <w:szCs w:val="27"/>
              </w:rPr>
              <w:t>核苷酸和/或氨基酸序列表</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b/>
                <w:bCs/>
                <w:kern w:val="0"/>
                <w:sz w:val="27"/>
                <w:szCs w:val="27"/>
              </w:rPr>
              <w:t>和序列</w:t>
            </w:r>
            <w:proofErr w:type="gramStart"/>
            <w:r w:rsidRPr="002539F3">
              <w:rPr>
                <w:rFonts w:ascii="宋体" w:eastAsia="宋体" w:hAnsi="宋体" w:cs="宋体" w:hint="eastAsia"/>
                <w:b/>
                <w:bCs/>
                <w:kern w:val="0"/>
                <w:sz w:val="27"/>
                <w:szCs w:val="27"/>
              </w:rPr>
              <w:t>表电子</w:t>
            </w:r>
            <w:proofErr w:type="gramEnd"/>
            <w:r w:rsidRPr="002539F3">
              <w:rPr>
                <w:rFonts w:ascii="宋体" w:eastAsia="宋体" w:hAnsi="宋体" w:cs="宋体" w:hint="eastAsia"/>
                <w:b/>
                <w:bCs/>
                <w:kern w:val="0"/>
                <w:sz w:val="27"/>
                <w:szCs w:val="27"/>
              </w:rPr>
              <w:t>文件标准</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仿宋_GB2312" w:eastAsia="仿宋_GB2312" w:hAnsi="宋体" w:cs="宋体" w:hint="eastAsia"/>
                <w:kern w:val="0"/>
                <w:sz w:val="24"/>
                <w:szCs w:val="24"/>
                <w:u w:val="single"/>
              </w:rPr>
              <w:lastRenderedPageBreak/>
              <w:t>2001-11-01</w:t>
            </w:r>
            <w:r w:rsidRPr="002539F3">
              <w:rPr>
                <w:rFonts w:ascii="宋体" w:eastAsia="宋体" w:hAnsi="宋体" w:cs="宋体" w:hint="eastAsia"/>
                <w:kern w:val="0"/>
                <w:sz w:val="24"/>
                <w:szCs w:val="24"/>
                <w:u w:val="single"/>
              </w:rPr>
              <w:t xml:space="preserve">发布                   </w:t>
            </w:r>
            <w:r w:rsidRPr="002539F3">
              <w:rPr>
                <w:rFonts w:ascii="仿宋_GB2312" w:eastAsia="仿宋_GB2312" w:hAnsi="宋体" w:cs="宋体" w:hint="eastAsia"/>
                <w:kern w:val="0"/>
                <w:sz w:val="24"/>
                <w:szCs w:val="24"/>
                <w:u w:val="single"/>
              </w:rPr>
              <w:t>2001-11-01</w:t>
            </w:r>
            <w:r w:rsidRPr="002539F3">
              <w:rPr>
                <w:rFonts w:ascii="宋体" w:eastAsia="宋体" w:hAnsi="宋体" w:cs="宋体" w:hint="eastAsia"/>
                <w:kern w:val="0"/>
                <w:sz w:val="24"/>
                <w:szCs w:val="24"/>
                <w:u w:val="single"/>
              </w:rPr>
              <w:t>实施</w:t>
            </w:r>
            <w:r w:rsidRPr="002539F3">
              <w:rPr>
                <w:rFonts w:ascii="宋体" w:eastAsia="宋体" w:hAnsi="宋体" w:cs="宋体" w:hint="eastAsia"/>
                <w:kern w:val="0"/>
                <w:sz w:val="24"/>
                <w:szCs w:val="24"/>
              </w:rPr>
              <w:br/>
              <w:t>中华人民共和国国家知识产权局</w:t>
            </w:r>
            <w:r w:rsidRPr="002539F3">
              <w:rPr>
                <w:rFonts w:ascii="仿宋_GB2312" w:eastAsia="仿宋_GB2312" w:hAnsi="宋体" w:cs="宋体" w:hint="eastAsia"/>
                <w:kern w:val="0"/>
                <w:sz w:val="24"/>
                <w:szCs w:val="24"/>
              </w:rPr>
              <w:t xml:space="preserve"> </w:t>
            </w:r>
            <w:r w:rsidRPr="002539F3">
              <w:rPr>
                <w:rFonts w:ascii="宋体" w:eastAsia="宋体" w:hAnsi="宋体" w:cs="宋体" w:hint="eastAsia"/>
                <w:kern w:val="0"/>
                <w:sz w:val="24"/>
                <w:szCs w:val="24"/>
              </w:rPr>
              <w:t>发布</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kern w:val="0"/>
                <w:sz w:val="24"/>
                <w:szCs w:val="24"/>
              </w:rPr>
              <w:t xml:space="preserve">　</w:t>
            </w:r>
            <w:r w:rsidRPr="002539F3">
              <w:rPr>
                <w:rFonts w:ascii="宋体" w:eastAsia="宋体" w:hAnsi="宋体" w:cs="宋体"/>
                <w:b/>
                <w:bCs/>
                <w:kern w:val="0"/>
                <w:sz w:val="24"/>
                <w:szCs w:val="24"/>
              </w:rPr>
              <w:t xml:space="preserve">　</w:t>
            </w:r>
          </w:p>
          <w:p w:rsidR="002539F3" w:rsidRPr="002539F3" w:rsidRDefault="002539F3" w:rsidP="002539F3">
            <w:pPr>
              <w:widowControl/>
              <w:spacing w:before="100" w:beforeAutospacing="1" w:after="100" w:afterAutospacing="1" w:line="480" w:lineRule="auto"/>
              <w:jc w:val="center"/>
              <w:rPr>
                <w:rFonts w:ascii="宋体" w:eastAsia="宋体" w:hAnsi="宋体" w:cs="宋体"/>
                <w:kern w:val="0"/>
                <w:sz w:val="24"/>
                <w:szCs w:val="24"/>
              </w:rPr>
            </w:pPr>
            <w:r w:rsidRPr="002539F3">
              <w:rPr>
                <w:rFonts w:ascii="宋体" w:eastAsia="宋体" w:hAnsi="宋体" w:cs="宋体" w:hint="eastAsia"/>
                <w:kern w:val="0"/>
                <w:sz w:val="24"/>
                <w:szCs w:val="24"/>
              </w:rPr>
              <w:t>核苷酸和/或氨基酸序列表和序列</w:t>
            </w:r>
            <w:proofErr w:type="gramStart"/>
            <w:r w:rsidRPr="002539F3">
              <w:rPr>
                <w:rFonts w:ascii="宋体" w:eastAsia="宋体" w:hAnsi="宋体" w:cs="宋体" w:hint="eastAsia"/>
                <w:kern w:val="0"/>
                <w:sz w:val="24"/>
                <w:szCs w:val="24"/>
              </w:rPr>
              <w:t>表电子</w:t>
            </w:r>
            <w:proofErr w:type="gramEnd"/>
            <w:r w:rsidRPr="002539F3">
              <w:rPr>
                <w:rFonts w:ascii="宋体" w:eastAsia="宋体" w:hAnsi="宋体" w:cs="宋体" w:hint="eastAsia"/>
                <w:kern w:val="0"/>
                <w:sz w:val="24"/>
                <w:szCs w:val="24"/>
              </w:rPr>
              <w:t>文件标准</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1 总则</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根据专利法实施细则第18条第4款的规定，包含一个或多个核苷酸或者氨基酸序列的发明专利申请，说明书中应当包括符合国家知识产权局专利局规定的序列表，并按照国家知识产权局专利局的规定提交含有该序列表的计算机可读形式的副本。</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为了使提交的</w:t>
            </w:r>
            <w:proofErr w:type="gramStart"/>
            <w:r w:rsidRPr="002539F3">
              <w:rPr>
                <w:rFonts w:ascii="宋体" w:eastAsia="宋体" w:hAnsi="宋体" w:cs="宋体" w:hint="eastAsia"/>
                <w:kern w:val="0"/>
                <w:sz w:val="20"/>
                <w:szCs w:val="20"/>
              </w:rPr>
              <w:t>纸件形式</w:t>
            </w:r>
            <w:proofErr w:type="gramEnd"/>
            <w:r w:rsidRPr="002539F3">
              <w:rPr>
                <w:rFonts w:ascii="宋体" w:eastAsia="宋体" w:hAnsi="宋体" w:cs="宋体" w:hint="eastAsia"/>
                <w:kern w:val="0"/>
                <w:sz w:val="20"/>
                <w:szCs w:val="20"/>
              </w:rPr>
              <w:t>的核苷酸和/或氨基酸序列表及计算机可读形式的含有该序列表的电子文件规范化，以利于申请人提交；也为了使序列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文件可以快捷 地输入国家知识产权局专利局的计算机数据库，并与其它的序列检索数据库交换数据，以利于公众检索；同时也利于专利局审查</w:t>
            </w:r>
            <w:proofErr w:type="gramStart"/>
            <w:r w:rsidRPr="002539F3">
              <w:rPr>
                <w:rFonts w:ascii="宋体" w:eastAsia="宋体" w:hAnsi="宋体" w:cs="宋体" w:hint="eastAsia"/>
                <w:kern w:val="0"/>
                <w:sz w:val="20"/>
                <w:szCs w:val="20"/>
              </w:rPr>
              <w:t>员加快</w:t>
            </w:r>
            <w:proofErr w:type="gramEnd"/>
            <w:r w:rsidRPr="002539F3">
              <w:rPr>
                <w:rFonts w:ascii="宋体" w:eastAsia="宋体" w:hAnsi="宋体" w:cs="宋体" w:hint="eastAsia"/>
                <w:kern w:val="0"/>
                <w:sz w:val="20"/>
                <w:szCs w:val="20"/>
              </w:rPr>
              <w:t>审查，更好地为申请人服务； 特制定本标准。</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2 适用范围</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本标准适用于所有向国家知识产权局专利局提交的包含核苷酸和/或氨基酸序列的发明专利申请，具体地说，适用于该申请提交的</w:t>
            </w:r>
            <w:proofErr w:type="gramStart"/>
            <w:r w:rsidRPr="002539F3">
              <w:rPr>
                <w:rFonts w:ascii="宋体" w:eastAsia="宋体" w:hAnsi="宋体" w:cs="宋体" w:hint="eastAsia"/>
                <w:kern w:val="0"/>
                <w:sz w:val="20"/>
                <w:szCs w:val="20"/>
              </w:rPr>
              <w:t>纸件形式</w:t>
            </w:r>
            <w:proofErr w:type="gramEnd"/>
            <w:r w:rsidRPr="002539F3">
              <w:rPr>
                <w:rFonts w:ascii="宋体" w:eastAsia="宋体" w:hAnsi="宋体" w:cs="宋体" w:hint="eastAsia"/>
                <w:kern w:val="0"/>
                <w:sz w:val="20"/>
                <w:szCs w:val="20"/>
              </w:rPr>
              <w:t>的核苷酸和/或氨基酸序列表，以及含有核苷酸和/或氨基酸序列表的计算机可读形式的序列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3 术语和定义</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在本标准中，采用下面术语和定义：</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（1） 序列表：是指以</w:t>
            </w:r>
            <w:proofErr w:type="gramStart"/>
            <w:r w:rsidRPr="002539F3">
              <w:rPr>
                <w:rFonts w:ascii="宋体" w:eastAsia="宋体" w:hAnsi="宋体" w:cs="宋体" w:hint="eastAsia"/>
                <w:kern w:val="0"/>
                <w:sz w:val="20"/>
                <w:szCs w:val="20"/>
              </w:rPr>
              <w:t>纸件形式</w:t>
            </w:r>
            <w:proofErr w:type="gramEnd"/>
            <w:r w:rsidRPr="002539F3">
              <w:rPr>
                <w:rFonts w:ascii="宋体" w:eastAsia="宋体" w:hAnsi="宋体" w:cs="宋体" w:hint="eastAsia"/>
                <w:kern w:val="0"/>
                <w:sz w:val="20"/>
                <w:szCs w:val="20"/>
              </w:rPr>
              <w:t>提交的专利申请说明书的一部分，它公开了核苷酸和/或氨基酸序列的详细内容和其它有用信息。序列表中的序列是不少于10个核苷酸的 非支链核苷酸序列，或者是不少于4个氨基酸的非支链氨基酸序列。所述的序列不包括支链序列；不包括具有少于4个特别定义的核苷酸或氨基酸的序列；也不包括 含有列于附录1之表1－4以外的核苷酸或氨基酸的序列。</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（2）序列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文件：是指包含核苷酸和/或氨基酸序列表的计算机可读形式的纯文本文件。</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（3）核苷酸：只包括附录1之表1中列出的符号所表示的核苷酸。附录1之表2中列出的符号用于表述核苷酸的修饰形式，例如甲基化碱基。对于核苷酸的修饰形式，不得在核苷酸序列中直</w:t>
            </w:r>
            <w:proofErr w:type="gramStart"/>
            <w:r w:rsidRPr="002539F3">
              <w:rPr>
                <w:rFonts w:ascii="宋体" w:eastAsia="宋体" w:hAnsi="宋体" w:cs="宋体" w:hint="eastAsia"/>
                <w:kern w:val="0"/>
                <w:sz w:val="20"/>
                <w:szCs w:val="20"/>
              </w:rPr>
              <w:t>接使用</w:t>
            </w:r>
            <w:proofErr w:type="gramEnd"/>
            <w:r w:rsidRPr="002539F3">
              <w:rPr>
                <w:rFonts w:ascii="宋体" w:eastAsia="宋体" w:hAnsi="宋体" w:cs="宋体" w:hint="eastAsia"/>
                <w:kern w:val="0"/>
                <w:sz w:val="20"/>
                <w:szCs w:val="20"/>
              </w:rPr>
              <w:t>表2中的符号表示，其具体的表述方式见本标准4.4.7节（1）和4.4.5节的内容。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 氨基酸：只包括列于附录1之表3中的存在于天然蛋白质中的L－氨基酸，不包括D－氨基酸。附录1之表4中列出的符号用于表述氨基酸的修饰形式，例如羟基化 或糖基化形式。对于氨基酸的修饰形式，不得在氨基酸序列中直</w:t>
            </w:r>
            <w:proofErr w:type="gramStart"/>
            <w:r w:rsidRPr="002539F3">
              <w:rPr>
                <w:rFonts w:ascii="宋体" w:eastAsia="宋体" w:hAnsi="宋体" w:cs="宋体" w:hint="eastAsia"/>
                <w:kern w:val="0"/>
                <w:sz w:val="20"/>
                <w:szCs w:val="20"/>
              </w:rPr>
              <w:t>接使用</w:t>
            </w:r>
            <w:proofErr w:type="gramEnd"/>
            <w:r w:rsidRPr="002539F3">
              <w:rPr>
                <w:rFonts w:ascii="宋体" w:eastAsia="宋体" w:hAnsi="宋体" w:cs="宋体" w:hint="eastAsia"/>
                <w:kern w:val="0"/>
                <w:sz w:val="20"/>
                <w:szCs w:val="20"/>
              </w:rPr>
              <w:t>表4中的符号表示，其具体的表述方式见本标准4.4.7节（2）和4.4.5节的内容。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（5）序列标识符：对应于序列表中每个序列的序列标识号的唯一的正整数。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（6）数字标识符：由尖括号&lt;&gt;</w:t>
            </w:r>
            <w:proofErr w:type="gramStart"/>
            <w:r w:rsidRPr="002539F3">
              <w:rPr>
                <w:rFonts w:ascii="宋体" w:eastAsia="宋体" w:hAnsi="宋体" w:cs="宋体" w:hint="eastAsia"/>
                <w:kern w:val="0"/>
                <w:sz w:val="20"/>
                <w:szCs w:val="20"/>
              </w:rPr>
              <w:t>括</w:t>
            </w:r>
            <w:proofErr w:type="gramEnd"/>
            <w:r w:rsidRPr="002539F3">
              <w:rPr>
                <w:rFonts w:ascii="宋体" w:eastAsia="宋体" w:hAnsi="宋体" w:cs="宋体" w:hint="eastAsia"/>
                <w:kern w:val="0"/>
                <w:sz w:val="20"/>
                <w:szCs w:val="20"/>
              </w:rPr>
              <w:t>起来的代表特定内容数据项的三位数字。</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 序列表和序列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文件中的数字标识符、内容及其格式：</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在核苷酸和/或氨基酸序列表和序列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文件中，应当有本标准中指出的数字标识符，在数字标识符之后（即在其</w:t>
            </w:r>
            <w:proofErr w:type="gramStart"/>
            <w:r w:rsidRPr="002539F3">
              <w:rPr>
                <w:rFonts w:ascii="宋体" w:eastAsia="宋体" w:hAnsi="宋体" w:cs="宋体" w:hint="eastAsia"/>
                <w:kern w:val="0"/>
                <w:sz w:val="20"/>
                <w:szCs w:val="20"/>
              </w:rPr>
              <w:t>之</w:t>
            </w:r>
            <w:proofErr w:type="gramEnd"/>
            <w:r w:rsidRPr="002539F3">
              <w:rPr>
                <w:rFonts w:ascii="宋体" w:eastAsia="宋体" w:hAnsi="宋体" w:cs="宋体" w:hint="eastAsia"/>
                <w:kern w:val="0"/>
                <w:sz w:val="20"/>
                <w:szCs w:val="20"/>
              </w:rPr>
              <w:t>右，必要时还包括在其下面的若干行）是相应的具体内容，它们应</w:t>
            </w:r>
            <w:r w:rsidRPr="002539F3">
              <w:rPr>
                <w:rFonts w:ascii="宋体" w:eastAsia="宋体" w:hAnsi="宋体" w:cs="宋体" w:hint="eastAsia"/>
                <w:kern w:val="0"/>
                <w:sz w:val="20"/>
                <w:szCs w:val="20"/>
              </w:rPr>
              <w:lastRenderedPageBreak/>
              <w:t>当符合本标准规定的格式。附录2给出了一个说明数字标识符、其后内容及格式的</w:t>
            </w:r>
            <w:proofErr w:type="gramStart"/>
            <w:r w:rsidRPr="002539F3">
              <w:rPr>
                <w:rFonts w:ascii="宋体" w:eastAsia="宋体" w:hAnsi="宋体" w:cs="宋体" w:hint="eastAsia"/>
                <w:kern w:val="0"/>
                <w:sz w:val="20"/>
                <w:szCs w:val="20"/>
              </w:rPr>
              <w:t>序列表样例</w:t>
            </w:r>
            <w:proofErr w:type="gramEnd"/>
            <w:r w:rsidRPr="002539F3">
              <w:rPr>
                <w:rFonts w:ascii="宋体" w:eastAsia="宋体" w:hAnsi="宋体" w:cs="宋体" w:hint="eastAsia"/>
                <w:kern w:val="0"/>
                <w:sz w:val="20"/>
                <w:szCs w:val="20"/>
              </w:rPr>
              <w: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序列表和序列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文件中包括的数字标识符及相应内容和格式具体如下：</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4.1、序列表和序列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文件中的著录项目：</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下面4.1.1－4.1.7节中的内容应当与专利申请请求书中的相应内容一致。</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4.1.1、申请人的姓名或名称：其数字标识符为&lt;110&gt;。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在数字标识符&lt;110&gt;之后，是该专利申请的所有申请人的姓名或名称。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外国申请人还应当在中文译名之后注明英文姓名或名称，并将其用圆括号</w:t>
            </w:r>
            <w:proofErr w:type="gramStart"/>
            <w:r w:rsidRPr="002539F3">
              <w:rPr>
                <w:rFonts w:ascii="宋体" w:eastAsia="宋体" w:hAnsi="宋体" w:cs="宋体" w:hint="eastAsia"/>
                <w:kern w:val="0"/>
                <w:sz w:val="20"/>
                <w:szCs w:val="20"/>
              </w:rPr>
              <w:t>括</w:t>
            </w:r>
            <w:proofErr w:type="gramEnd"/>
            <w:r w:rsidRPr="002539F3">
              <w:rPr>
                <w:rFonts w:ascii="宋体" w:eastAsia="宋体" w:hAnsi="宋体" w:cs="宋体" w:hint="eastAsia"/>
                <w:kern w:val="0"/>
                <w:sz w:val="20"/>
                <w:szCs w:val="20"/>
              </w:rPr>
              <w:t>起来。</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4.1.2、发明名称：其数字标识符为&lt;120&gt;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在数字标识符&lt;120&gt;之后，是该专利申请的发明名称。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4.1.3、案卷参考号：其数字标识符为&lt;130&gt;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在数字标识符&lt;130&gt;之后，是该专利申请的案卷参考号；没有案卷参考号的，无需包括此项内容。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4.1.4、专利申请号：其数字标识符为&lt;140&gt;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对于首次提交的专利申请，无需包括此项内容；当补交或提交修改时，在数字标识符&lt;140&gt;之后，是该专利申请的申请号。</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4.1.5、专利申请日：其数字标识符为&lt;141&gt;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对于首次提交的专利申请，无需包括此项内容；当补交或提交修改时，在数字标识符&lt;141&gt;之后，是该专利申请的申请日，其格式为：YYYY－MM－DD，例如2002－01－18。</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4.1.6、优先权号：其数字标识符为&lt;150&gt;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没有优先权的专利申请，无需包括此项内容；如果有优先权的话，那么在数字标识符&lt;150&gt;之后，是该专利申请的优先权号，其格式为：世界知 识产权组织（WIPO）标准3（ST 3）的国家、地区和政府间组织代码＋优先权号，例如，CN93112388.7。</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4.1.7、优先权日：其数字标识符为&lt;151&gt;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没有优先权的专利申请，无需包括此项内容；如果有优先权的话，那么在数字标识符&lt;151&gt;之后，是该专利申请的优先权日，其格式为：YYYY－MM－DD，例如2001－09－20。</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4.2、序列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文件的软件版本信息：其数字标识符为&lt;170&gt;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当使用国家知识产权局专利局或其它专利组织（例如欧洲专利局）提供的软件形成核苷酸和/或氨基酸序列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文件时，在数字标识符&lt;170&gt;之后，是该软件的名称与版本号；未使用所述软件时，可以不包含此项内容。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4.3、序列表中序列的个数：其数字标识符为&lt;160&gt;。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在数字标识符&lt;160&gt;之后，是序列的总数，即与数值最大的序列标识符相对应的正整数。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4.4、序列中的各项内容：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4.4.1、序列标识符：其数字标识符为&lt;210&gt;。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在序列表中，每个序列应当有独立的、唯一的序列标识符，它应当从1开始并逐一增加。序列标识符表示每个序列在序列表中的序号。</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在数字标识符&lt;210&gt;之后，是与一个序列相对应的序列标识符。</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在一个序列标识符之后到下一个序列标识符之前是该序列的各项具体内容，即下面4.4.2－4.4.7节的内容。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在序列表中有多个序列的情况下，应当按照序列标识符数值从小到大的次序逐一填写每个序列的各项内容。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4.4.2、序列的长度：其数字标识符为&lt;211&gt;。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在数字标识符&lt;211&gt;之后，是以碱基或氨基酸的数目表示的该序列的长度。</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4.4.3、序列的类型：其数字标识符为&lt;212&gt;。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在数字标识符&lt;212&gt;之后，应当指出该序列的分子类型，有DNA、RNA或PRT三种类型。如果核苷酸序列含有DNA和RNA片段的话， 那么其类型应该是DNA；另外，对于DNA/RNA的结合分子，应该在该序列的特征部分（数字标识符&lt;220&gt;－&lt;223&gt;）进 一步表述。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4.4.4、生物体：其数字标识符为&lt;213&gt;。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 xml:space="preserve">　　在数字标识符&lt;213&gt;之后，应当用中文和拉丁文（拉丁文应当放在中文之后并用圆括号</w:t>
            </w:r>
            <w:proofErr w:type="gramStart"/>
            <w:r w:rsidRPr="002539F3">
              <w:rPr>
                <w:rFonts w:ascii="宋体" w:eastAsia="宋体" w:hAnsi="宋体" w:cs="宋体" w:hint="eastAsia"/>
                <w:kern w:val="0"/>
                <w:sz w:val="20"/>
                <w:szCs w:val="20"/>
              </w:rPr>
              <w:t>括</w:t>
            </w:r>
            <w:proofErr w:type="gramEnd"/>
            <w:r w:rsidRPr="002539F3">
              <w:rPr>
                <w:rFonts w:ascii="宋体" w:eastAsia="宋体" w:hAnsi="宋体" w:cs="宋体" w:hint="eastAsia"/>
                <w:kern w:val="0"/>
                <w:sz w:val="20"/>
                <w:szCs w:val="20"/>
              </w:rPr>
              <w:t>起来，例如，草履虫种(Paramecium sp.)）注明该序列来源的生物名称，即科学命名的生物属种；或者是“人工序列”或“未知”。</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4.4.5、序列</w:t>
            </w:r>
            <w:proofErr w:type="gramStart"/>
            <w:r w:rsidRPr="002539F3">
              <w:rPr>
                <w:rFonts w:ascii="宋体" w:eastAsia="宋体" w:hAnsi="宋体" w:cs="宋体" w:hint="eastAsia"/>
                <w:kern w:val="0"/>
                <w:sz w:val="20"/>
                <w:szCs w:val="20"/>
              </w:rPr>
              <w:t>中特征</w:t>
            </w:r>
            <w:proofErr w:type="gramEnd"/>
            <w:r w:rsidRPr="002539F3">
              <w:rPr>
                <w:rFonts w:ascii="宋体" w:eastAsia="宋体" w:hAnsi="宋体" w:cs="宋体" w:hint="eastAsia"/>
                <w:kern w:val="0"/>
                <w:sz w:val="20"/>
                <w:szCs w:val="20"/>
              </w:rPr>
              <w:t>部分的内容：数字标识符&lt;220&gt;－&lt;223&gt;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本节涉及到序列中与特征相关的内容的表述。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在核苷酸序列（数字标识符&lt; 400&gt; ）中含有“n”或修饰的碱基的情况下（参见本标准4.4.7节（1）的内容），或者在氨基酸序列（数字标识符&lt; 400&gt; ）中含有“Xaa”或修饰的氨基酸或不常用的L－氨基酸的情况下（参见本标准4.4.7节（2）的内容），必须包括下面（1）－（4）项的内容。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在生物体（数字标识符&lt; 213&gt; ）是“人工序列”或“未知”的情况下，必须包括下面（1）和（4）项的内容。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在一个序列中有多个特征的情况下，应当按照这些特征在序列中出现的先后次序逐一地表述每个特征。</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序列</w:t>
            </w:r>
            <w:proofErr w:type="gramStart"/>
            <w:r w:rsidRPr="002539F3">
              <w:rPr>
                <w:rFonts w:ascii="宋体" w:eastAsia="宋体" w:hAnsi="宋体" w:cs="宋体" w:hint="eastAsia"/>
                <w:kern w:val="0"/>
                <w:sz w:val="20"/>
                <w:szCs w:val="20"/>
              </w:rPr>
              <w:t>中特征</w:t>
            </w:r>
            <w:proofErr w:type="gramEnd"/>
            <w:r w:rsidRPr="002539F3">
              <w:rPr>
                <w:rFonts w:ascii="宋体" w:eastAsia="宋体" w:hAnsi="宋体" w:cs="宋体" w:hint="eastAsia"/>
                <w:kern w:val="0"/>
                <w:sz w:val="20"/>
                <w:szCs w:val="20"/>
              </w:rPr>
              <w:t>部分的具体内容和数字标识符如下：</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（1）特征：其数字标识符为&lt;220&gt;。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在数字标识符&lt;220&gt;之后，应当是空白。</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（2）名称/关键词：其数字标识符为&lt;221&gt;。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 xml:space="preserve">　　在数字标识符&lt;221&gt;之后，是特征名称或关键词。使用关键词表述特征时，只能使用附录1之表5或表6中列出的关键词来表述。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（3）位置：其数字标识符为&lt;222&gt;。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在数字标识符&lt;222&gt;之后，应当标明特征的位置，标注的方式为：从特征中的第一个碱基或氨基酸的编号</w:t>
            </w:r>
            <w:proofErr w:type="gramStart"/>
            <w:r w:rsidRPr="002539F3">
              <w:rPr>
                <w:rFonts w:ascii="宋体" w:eastAsia="宋体" w:hAnsi="宋体" w:cs="宋体" w:hint="eastAsia"/>
                <w:kern w:val="0"/>
                <w:sz w:val="20"/>
                <w:szCs w:val="20"/>
              </w:rPr>
              <w:t>到特征</w:t>
            </w:r>
            <w:proofErr w:type="gramEnd"/>
            <w:r w:rsidRPr="002539F3">
              <w:rPr>
                <w:rFonts w:ascii="宋体" w:eastAsia="宋体" w:hAnsi="宋体" w:cs="宋体" w:hint="eastAsia"/>
                <w:kern w:val="0"/>
                <w:sz w:val="20"/>
                <w:szCs w:val="20"/>
              </w:rPr>
              <w:t>的最后一个碱基或氨基酸的编 号，编号圆括号</w:t>
            </w:r>
            <w:proofErr w:type="gramStart"/>
            <w:r w:rsidRPr="002539F3">
              <w:rPr>
                <w:rFonts w:ascii="宋体" w:eastAsia="宋体" w:hAnsi="宋体" w:cs="宋体" w:hint="eastAsia"/>
                <w:kern w:val="0"/>
                <w:sz w:val="20"/>
                <w:szCs w:val="20"/>
              </w:rPr>
              <w:t>括</w:t>
            </w:r>
            <w:proofErr w:type="gramEnd"/>
            <w:r w:rsidRPr="002539F3">
              <w:rPr>
                <w:rFonts w:ascii="宋体" w:eastAsia="宋体" w:hAnsi="宋体" w:cs="宋体" w:hint="eastAsia"/>
                <w:kern w:val="0"/>
                <w:sz w:val="20"/>
                <w:szCs w:val="20"/>
              </w:rPr>
              <w:t>起来，两个编号中间是“...”，例如：(</w:t>
            </w:r>
            <w:proofErr w:type="gramStart"/>
            <w:r w:rsidRPr="002539F3">
              <w:rPr>
                <w:rFonts w:ascii="宋体" w:eastAsia="宋体" w:hAnsi="宋体" w:cs="宋体" w:hint="eastAsia"/>
                <w:kern w:val="0"/>
                <w:sz w:val="20"/>
                <w:szCs w:val="20"/>
              </w:rPr>
              <w:t>279)...</w:t>
            </w:r>
            <w:proofErr w:type="gramEnd"/>
            <w:r w:rsidRPr="002539F3">
              <w:rPr>
                <w:rFonts w:ascii="宋体" w:eastAsia="宋体" w:hAnsi="宋体" w:cs="宋体" w:hint="eastAsia"/>
                <w:kern w:val="0"/>
                <w:sz w:val="20"/>
                <w:szCs w:val="20"/>
              </w:rPr>
              <w:t>(389) ；当序列中使用了多个“n”或“Xaa”时，应当标明它们的所有位置，例如：(80,100,112)。参见附录2的序列表样例。</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（4）其它信息：其数字标识符为&lt;223&gt;。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在数字标识符&lt;223&gt;之后，应当表述序列中与特征有关的其它相关信息。在表述修饰的碱基或修饰的氨基酸时，应该用附录1之表2或表4中给出的符号来表述。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4.4.6、出版公开信息：数字标识符&lt;300&gt;－&lt;312&gt;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出版公开信息是非强制性的内容，在序列表和序列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文件中，可以包含也可以不包含这些内容。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（1）公开出版信息：其数字标识符为&lt;300&gt;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在数字标识符&lt;300&gt;之后，应当是空白。</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（2）作者：其数字标识符为&lt;301&gt;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在数字标识符&lt;301&gt;之后，是该文献作者的姓名。</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（3）题目：其数字标识符为&lt;302&gt;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在数字标识符&lt;302&gt;之后，是出版物中该文献的题目。</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（4）杂志名称：其数字标识符为&lt;303&gt;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在数字标识符&lt;303&gt;之后，是公开出版物的杂志名称。</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（5）公开出版物的卷号：其数字标识符为&lt;304&gt;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在数字标识符&lt;304&gt;之后，是公开出版物的卷号。</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（6）公开出版物的出版号：其数字标识符为&lt;305&gt;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在数字标识符&lt;305&gt;之后，是公开出版物的出版号。</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（7）页码：其数字标识符为&lt;306&gt;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在数字标识符&lt;306&gt;之后，是该文献的起始－终止页码。</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（8）出版日期：其数字标识符为&lt;307&gt;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在数字标识符&lt;307&gt;之后，是该公开出版物的出版日期，其格式为：YYYY－MM－DD，例如1999?9?0。</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（9）公开出版物的数据库登记号：其数字标识符为&lt;308&gt;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如果该文献被收入某个数据库的话，那么在数字标识符&lt;308&gt;之后，是该文献在该数据库中的登记号。</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（10）录入数据库的日期：其数字标识符为&lt;309&gt;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如果该文献被收入某个数据库的话，那么在数字标识符&lt;309&gt;之后，是该文献录入该数据库的日期，其格式为：YYYY－MM－DD，例如1999?9?0。</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（11）专利公开号：其数字标识符为&lt;310&gt;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如果该公开出版物是专利文献的话，那么在数字标识符&lt;310&gt;之后，是该专利的公开号，其格式为：世界知识产权组织（WIPO）标准 3（ST 3）的国家、地区和政府间组织代码＋标准6（ST 6）的公开号＋标准16（ST 16）的文献类型，例如CN1183117A。</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（12）专利申请日：其数字标识符为&lt;311&gt;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如果该公开出版物是专利文献的话，那么在数字标识符&lt;311&gt;之后，是该专利的申请日，其格式为：YYYY－MM－DD，例如1999?9?0。</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（13）专利公开日：其数字标识符为&lt;312&gt;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如果该公开出版物是专利文献的话，那么在数字标识符&lt;312&gt;之后，是该专利的公开日，其格式为：YYYY－MM－DD，例如1999?9?0。</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4.4.7、核苷酸序列和/或氨基酸序列：其数字标识符为&lt;400&gt;。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在数字标识符&lt;400&gt;之后，是该序列的序列标识符；从下一行开始是该核苷酸和/或氨基酸序列。</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 xml:space="preserve">　　该序列可以是纯核苷酸序列，或者是纯氨基酸序列，或者是核苷酸序列和与它对应的氨基酸序列。</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（1）纯核苷酸序列：</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核苷酸序列应当只用单链表示，从左到右是5</w:t>
            </w:r>
            <w:proofErr w:type="gramStart"/>
            <w:r w:rsidRPr="002539F3">
              <w:rPr>
                <w:rFonts w:ascii="宋体" w:eastAsia="宋体" w:hAnsi="宋体" w:cs="宋体"/>
                <w:kern w:val="0"/>
                <w:sz w:val="20"/>
                <w:szCs w:val="20"/>
              </w:rPr>
              <w:t>’</w:t>
            </w:r>
            <w:proofErr w:type="gramEnd"/>
            <w:r w:rsidRPr="002539F3">
              <w:rPr>
                <w:rFonts w:ascii="宋体" w:eastAsia="宋体" w:hAnsi="宋体" w:cs="宋体" w:hint="eastAsia"/>
                <w:kern w:val="0"/>
                <w:sz w:val="20"/>
                <w:szCs w:val="20"/>
              </w:rPr>
              <w:t>-末端至3</w:t>
            </w:r>
            <w:proofErr w:type="gramStart"/>
            <w:r w:rsidRPr="002539F3">
              <w:rPr>
                <w:rFonts w:ascii="宋体" w:eastAsia="宋体" w:hAnsi="宋体" w:cs="宋体"/>
                <w:kern w:val="0"/>
                <w:sz w:val="20"/>
                <w:szCs w:val="20"/>
              </w:rPr>
              <w:t>’</w:t>
            </w:r>
            <w:proofErr w:type="gramEnd"/>
            <w:r w:rsidRPr="002539F3">
              <w:rPr>
                <w:rFonts w:ascii="宋体" w:eastAsia="宋体" w:hAnsi="宋体" w:cs="宋体" w:hint="eastAsia"/>
                <w:kern w:val="0"/>
                <w:sz w:val="20"/>
                <w:szCs w:val="20"/>
              </w:rPr>
              <w:t>-末端的方向，序列中不应当出现术语5</w:t>
            </w:r>
            <w:proofErr w:type="gramStart"/>
            <w:r w:rsidRPr="002539F3">
              <w:rPr>
                <w:rFonts w:ascii="宋体" w:eastAsia="宋体" w:hAnsi="宋体" w:cs="宋体"/>
                <w:kern w:val="0"/>
                <w:sz w:val="20"/>
                <w:szCs w:val="20"/>
              </w:rPr>
              <w:t>’</w:t>
            </w:r>
            <w:proofErr w:type="gramEnd"/>
            <w:r w:rsidRPr="002539F3">
              <w:rPr>
                <w:rFonts w:ascii="宋体" w:eastAsia="宋体" w:hAnsi="宋体" w:cs="宋体" w:hint="eastAsia"/>
                <w:kern w:val="0"/>
                <w:sz w:val="20"/>
                <w:szCs w:val="20"/>
              </w:rPr>
              <w:t>和3</w:t>
            </w:r>
            <w:proofErr w:type="gramStart"/>
            <w:r w:rsidRPr="002539F3">
              <w:rPr>
                <w:rFonts w:ascii="宋体" w:eastAsia="宋体" w:hAnsi="宋体" w:cs="宋体"/>
                <w:kern w:val="0"/>
                <w:sz w:val="20"/>
                <w:szCs w:val="20"/>
              </w:rPr>
              <w:t>’</w:t>
            </w:r>
            <w:proofErr w:type="gramEnd"/>
            <w:r w:rsidRPr="002539F3">
              <w:rPr>
                <w:rFonts w:ascii="宋体" w:eastAsia="宋体" w:hAnsi="宋体" w:cs="宋体" w:hint="eastAsia"/>
                <w:kern w:val="0"/>
                <w:sz w:val="20"/>
                <w:szCs w:val="20"/>
              </w:rPr>
              <w:t>。</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应当用单字母代码表示核苷酸序列的碱基来表述核苷酸序列的特征；只能使用与附录1之表1中给出的符号相一致的小写字母来表示。</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在一个核苷酸序列中，如果经修饰的碱基是附录1之表2中列出的之一，那么在该序列本身中，应当用未修饰的碱基或“n”来表示该经修饰的碱基，符号“n” 等同</w:t>
            </w:r>
            <w:proofErr w:type="gramStart"/>
            <w:r w:rsidRPr="002539F3">
              <w:rPr>
                <w:rFonts w:ascii="宋体" w:eastAsia="宋体" w:hAnsi="宋体" w:cs="宋体" w:hint="eastAsia"/>
                <w:kern w:val="0"/>
                <w:sz w:val="20"/>
                <w:szCs w:val="20"/>
              </w:rPr>
              <w:t>于唯一</w:t>
            </w:r>
            <w:proofErr w:type="gramEnd"/>
            <w:r w:rsidRPr="002539F3">
              <w:rPr>
                <w:rFonts w:ascii="宋体" w:eastAsia="宋体" w:hAnsi="宋体" w:cs="宋体" w:hint="eastAsia"/>
                <w:kern w:val="0"/>
                <w:sz w:val="20"/>
                <w:szCs w:val="20"/>
              </w:rPr>
              <w:t>的一个未知的或经修饰的核苷酸；但在该序列的特征部分（数字标识符&lt;220&gt;－&lt;223&gt;）应当使用附录1之表2中给 出的符号进一步表述该修饰（参见本标准4.4.5节）。附录1之表2中的符号可以用于说明书或序列的特征部分，但不得用于序列本身。</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核苷酸序列中碱基的编号开始于序列中的第1个碱基，并从5</w:t>
            </w:r>
            <w:proofErr w:type="gramStart"/>
            <w:r w:rsidRPr="002539F3">
              <w:rPr>
                <w:rFonts w:ascii="宋体" w:eastAsia="宋体" w:hAnsi="宋体" w:cs="宋体"/>
                <w:kern w:val="0"/>
                <w:sz w:val="20"/>
                <w:szCs w:val="20"/>
              </w:rPr>
              <w:t>’</w:t>
            </w:r>
            <w:proofErr w:type="gramEnd"/>
            <w:r w:rsidRPr="002539F3">
              <w:rPr>
                <w:rFonts w:ascii="宋体" w:eastAsia="宋体" w:hAnsi="宋体" w:cs="宋体" w:hint="eastAsia"/>
                <w:kern w:val="0"/>
                <w:sz w:val="20"/>
                <w:szCs w:val="20"/>
              </w:rPr>
              <w:t>到3</w:t>
            </w:r>
            <w:proofErr w:type="gramStart"/>
            <w:r w:rsidRPr="002539F3">
              <w:rPr>
                <w:rFonts w:ascii="宋体" w:eastAsia="宋体" w:hAnsi="宋体" w:cs="宋体"/>
                <w:kern w:val="0"/>
                <w:sz w:val="20"/>
                <w:szCs w:val="20"/>
              </w:rPr>
              <w:t>’</w:t>
            </w:r>
            <w:proofErr w:type="gramEnd"/>
            <w:r w:rsidRPr="002539F3">
              <w:rPr>
                <w:rFonts w:ascii="宋体" w:eastAsia="宋体" w:hAnsi="宋体" w:cs="宋体" w:hint="eastAsia"/>
                <w:kern w:val="0"/>
                <w:sz w:val="20"/>
                <w:szCs w:val="20"/>
              </w:rPr>
              <w:t>方向连续地计数。该计数方法也用于构型为环状的核苷酸序列，在这种情况下，申请人可任意指定序列的第一个核苷酸。</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来自大序列的一个或更多非邻接区段或来自不同序列的区段组成的核苷酸序列，应当作为带有单独序列标识符的单独序列来计数。带有一个缺口或多个缺口的序列应当作为带有单独序列标识符的多个单独序列来计数，而单独序列的数目与序列数据的连续序列的数目相同。</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 xml:space="preserve">　　核苷酸序列每行最多60个核苷酸碱基，每10个核苷酸碱基后空一格。该行的最后是该行最后一个碱基的编号。</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（2）纯氨基酸序列：</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对于氨基酸序列，蛋白质或肽序列中的氨基酸应当从左到右以氨基到羧基的方向列出；序列中不应当出现氨基或羧基基团。</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氨基酸应当使用与附录1之表3中的符号相一致的、第一个字母大写的三字母符号表示。有空白或内部中止符号（例如“Ter”或“*”或“·”）的氨基酸序列不应当表示为单个氨基酸序列，而应当作为独立的氨基酸序列分别列出。</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在一个氨基酸序列中，如果经修饰的氨基酸是附录1之表4中列出的氨基酸之一，那么在该序列本身中，应当用相应的未经修饰的氨基酸或“Xaa”来表示该经 修饰的和不常用的氨基酸，符号“Xaa”等同</w:t>
            </w:r>
            <w:proofErr w:type="gramStart"/>
            <w:r w:rsidRPr="002539F3">
              <w:rPr>
                <w:rFonts w:ascii="宋体" w:eastAsia="宋体" w:hAnsi="宋体" w:cs="宋体" w:hint="eastAsia"/>
                <w:kern w:val="0"/>
                <w:sz w:val="20"/>
                <w:szCs w:val="20"/>
              </w:rPr>
              <w:t>于唯一</w:t>
            </w:r>
            <w:proofErr w:type="gramEnd"/>
            <w:r w:rsidRPr="002539F3">
              <w:rPr>
                <w:rFonts w:ascii="宋体" w:eastAsia="宋体" w:hAnsi="宋体" w:cs="宋体" w:hint="eastAsia"/>
                <w:kern w:val="0"/>
                <w:sz w:val="20"/>
                <w:szCs w:val="20"/>
              </w:rPr>
              <w:t>的一个未知的或经修饰的氨基酸；但在该序列的特征部分（数字标识 符&lt;220&gt;－&lt;223&gt;），应当使用附录1之表4中给出的符号进一步表述该修饰（参见本标准4.4.5节）。附录1之表4中的 符号可以用于说明书或序列的特征部分，但不得用于序列本身。</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氨基酸的编号开始于序列中的第1个氨基酸，以数字1表示并标注在该氨基酸的下面；以后每隔5个氨基酸在其下面标注上该氨基酸的编号。</w:t>
            </w:r>
            <w:proofErr w:type="gramStart"/>
            <w:r w:rsidRPr="002539F3">
              <w:rPr>
                <w:rFonts w:ascii="宋体" w:eastAsia="宋体" w:hAnsi="宋体" w:cs="宋体" w:hint="eastAsia"/>
                <w:kern w:val="0"/>
                <w:sz w:val="20"/>
                <w:szCs w:val="20"/>
              </w:rPr>
              <w:t>当成熟蛋白质之前存</w:t>
            </w:r>
            <w:proofErr w:type="gramEnd"/>
            <w:r w:rsidRPr="002539F3">
              <w:rPr>
                <w:rFonts w:ascii="宋体" w:eastAsia="宋体" w:hAnsi="宋体" w:cs="宋体" w:hint="eastAsia"/>
                <w:kern w:val="0"/>
                <w:sz w:val="20"/>
                <w:szCs w:val="20"/>
              </w:rPr>
              <w:t xml:space="preserve"> 在氨基酸时，例如对于前－序列，原－序列，前－原－序列和信号序列而言，可以任选地从与成熟蛋白第一个氨基酸相邻的氨基酸开始以负数往回编号。当氨基酸编 号使用负数以区分成熟蛋白质时，不得使用</w:t>
            </w:r>
            <w:r w:rsidRPr="002539F3">
              <w:rPr>
                <w:rFonts w:ascii="宋体" w:eastAsia="宋体" w:hAnsi="宋体" w:cs="宋体" w:hint="eastAsia"/>
                <w:kern w:val="0"/>
                <w:sz w:val="20"/>
                <w:szCs w:val="20"/>
              </w:rPr>
              <w:lastRenderedPageBreak/>
              <w:t>数字0。上述氨基酸序列的计数方法也适用于环状构型的氨基酸序列，申请人可以任意指定第一个氨基酸。</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来自大序列的一个或更多非邻接区段或不同序列的区段组成的氨基酸序列，应当作为具有单独序列标识符的单独序列来计数。具有一个缺口或多个缺口的序列应当作为具有单独序列标识符的多个单独序列来计数，单独序列的数目与序列数据的连续序列的数目相同。</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氨基酸序列每行最多16个氨基酸，每个氨基酸之间空一格。</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（3）核苷酸序列和与它对应的氨基酸序列：</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对于核苷酸序列和与它对应的氨基酸序列，对应于其编码的氨基酸的核苷酸序列的碱基应当以“三联体”密码子列出，每个密码子之间应当空一格；对应于核苷酸 序列的编码部分的氨基酸可以直接列于相应密码子的下方；对于该氨基酸序列，应当在第一个氨基酸的下面标注上编号1，然后每隔5个氨基酸在其下面标注上该氨 基酸的编号。</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对于这种核苷酸和其编码的氨基酸序列的混合形式，与核苷酸序列相对应的氨基酸序列还应当以纯氨基酸序列的形式另外给出。</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4.5 数字标识符连同其后内容的排列格式</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在本节中，“数字标识符及内容”指的是数字标识符连同其后的相应内容。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数字标识符及内容应当按照数字标识符的数值从小到大的次序排列在序列表中。</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 xml:space="preserve">　 　每个数字标识符及内容之间应当空一行，不过在前两位数字相同的数字标识符及内容之间，例如&lt;210&gt;到&lt;213&gt;之间 和&lt;220&gt;到&lt;223&gt;之间，无需空一行，但对于一个序列中有多个特征的情况，在表述每个特征时，每个数字标识 符&lt;220&gt;之前应当空一行。</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对于序列表中有多个序列的情况，数字标识符及内容应当按照序列标识符的数值从小到大的次序排列。在每个序列中，应当按照数字标识符数值从小到大的次序列 </w:t>
            </w:r>
            <w:proofErr w:type="gramStart"/>
            <w:r w:rsidRPr="002539F3">
              <w:rPr>
                <w:rFonts w:ascii="宋体" w:eastAsia="宋体" w:hAnsi="宋体" w:cs="宋体" w:hint="eastAsia"/>
                <w:kern w:val="0"/>
                <w:sz w:val="20"/>
                <w:szCs w:val="20"/>
              </w:rPr>
              <w:t>出仅仅</w:t>
            </w:r>
            <w:proofErr w:type="gramEnd"/>
            <w:r w:rsidRPr="002539F3">
              <w:rPr>
                <w:rFonts w:ascii="宋体" w:eastAsia="宋体" w:hAnsi="宋体" w:cs="宋体" w:hint="eastAsia"/>
                <w:kern w:val="0"/>
                <w:sz w:val="20"/>
                <w:szCs w:val="20"/>
              </w:rPr>
              <w:t>与该序列有关的数字标识符及内容，即排列上从&lt;210&gt;到&lt;400&gt;的数字标识符及内容。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对于一个序列中有多个特征的情况，应当按照这些特征在序列中出现的先后次序逐一排列从&lt;220&gt;到&lt;223&gt;的数字标识符及内容。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5、序列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文件的格式</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5.1、序列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文件是一个包含</w:t>
            </w:r>
            <w:proofErr w:type="gramStart"/>
            <w:r w:rsidRPr="002539F3">
              <w:rPr>
                <w:rFonts w:ascii="宋体" w:eastAsia="宋体" w:hAnsi="宋体" w:cs="宋体" w:hint="eastAsia"/>
                <w:kern w:val="0"/>
                <w:sz w:val="20"/>
                <w:szCs w:val="20"/>
              </w:rPr>
              <w:t>上述第4</w:t>
            </w:r>
            <w:proofErr w:type="gramEnd"/>
            <w:r w:rsidRPr="002539F3">
              <w:rPr>
                <w:rFonts w:ascii="宋体" w:eastAsia="宋体" w:hAnsi="宋体" w:cs="宋体" w:hint="eastAsia"/>
                <w:kern w:val="0"/>
                <w:sz w:val="20"/>
                <w:szCs w:val="20"/>
              </w:rPr>
              <w:t>部分的数字标识符和内容，并符合</w:t>
            </w:r>
            <w:proofErr w:type="gramStart"/>
            <w:r w:rsidRPr="002539F3">
              <w:rPr>
                <w:rFonts w:ascii="宋体" w:eastAsia="宋体" w:hAnsi="宋体" w:cs="宋体" w:hint="eastAsia"/>
                <w:kern w:val="0"/>
                <w:sz w:val="20"/>
                <w:szCs w:val="20"/>
              </w:rPr>
              <w:t>上述第4</w:t>
            </w:r>
            <w:proofErr w:type="gramEnd"/>
            <w:r w:rsidRPr="002539F3">
              <w:rPr>
                <w:rFonts w:ascii="宋体" w:eastAsia="宋体" w:hAnsi="宋体" w:cs="宋体" w:hint="eastAsia"/>
                <w:kern w:val="0"/>
                <w:sz w:val="20"/>
                <w:szCs w:val="20"/>
              </w:rPr>
              <w:t>部分格式要求的纯文本文件；该文件应当使用中华人民共和国颁布的信息交换用汉字编码字符集标准。</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5.2、 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文件应当记录在CD-ROM光盘或3.5英寸软盘上提交，或者按照国家知识产权局专利局规定的其它形式提交。</w:t>
            </w:r>
            <w:proofErr w:type="gramStart"/>
            <w:r w:rsidRPr="002539F3">
              <w:rPr>
                <w:rFonts w:ascii="宋体" w:eastAsia="宋体" w:hAnsi="宋体" w:cs="宋体" w:hint="eastAsia"/>
                <w:kern w:val="0"/>
                <w:sz w:val="20"/>
                <w:szCs w:val="20"/>
              </w:rPr>
              <w:t>当记录</w:t>
            </w:r>
            <w:proofErr w:type="gramEnd"/>
            <w:r w:rsidRPr="002539F3">
              <w:rPr>
                <w:rFonts w:ascii="宋体" w:eastAsia="宋体" w:hAnsi="宋体" w:cs="宋体" w:hint="eastAsia"/>
                <w:kern w:val="0"/>
                <w:sz w:val="20"/>
                <w:szCs w:val="20"/>
              </w:rPr>
              <w:t>在CD-ROM光盘上时，该 CD-ROM光盘应当采用ISO9660标准刻录；</w:t>
            </w:r>
            <w:proofErr w:type="gramStart"/>
            <w:r w:rsidRPr="002539F3">
              <w:rPr>
                <w:rFonts w:ascii="宋体" w:eastAsia="宋体" w:hAnsi="宋体" w:cs="宋体" w:hint="eastAsia"/>
                <w:kern w:val="0"/>
                <w:sz w:val="20"/>
                <w:szCs w:val="20"/>
              </w:rPr>
              <w:t>当记录</w:t>
            </w:r>
            <w:proofErr w:type="gramEnd"/>
            <w:r w:rsidRPr="002539F3">
              <w:rPr>
                <w:rFonts w:ascii="宋体" w:eastAsia="宋体" w:hAnsi="宋体" w:cs="宋体" w:hint="eastAsia"/>
                <w:kern w:val="0"/>
                <w:sz w:val="20"/>
                <w:szCs w:val="20"/>
              </w:rPr>
              <w:t>在3.5英寸软盘上时，该软盘应当符合FAT 12格式。该光盘或软盘的目录结构如下：在根目录下，有且仅有一个后缀名为“.SEQ”的纯文本文件。</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6 其它事项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6.1、申请人应当保证提交的计算机可读形式的序列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文件中的内容与</w:t>
            </w:r>
            <w:proofErr w:type="gramStart"/>
            <w:r w:rsidRPr="002539F3">
              <w:rPr>
                <w:rFonts w:ascii="宋体" w:eastAsia="宋体" w:hAnsi="宋体" w:cs="宋体" w:hint="eastAsia"/>
                <w:kern w:val="0"/>
                <w:sz w:val="20"/>
                <w:szCs w:val="20"/>
              </w:rPr>
              <w:t>纸件形式</w:t>
            </w:r>
            <w:proofErr w:type="gramEnd"/>
            <w:r w:rsidRPr="002539F3">
              <w:rPr>
                <w:rFonts w:ascii="宋体" w:eastAsia="宋体" w:hAnsi="宋体" w:cs="宋体" w:hint="eastAsia"/>
                <w:kern w:val="0"/>
                <w:sz w:val="20"/>
                <w:szCs w:val="20"/>
              </w:rPr>
              <w:t>的序列表完全相同。</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6.2、 申请人在形成符合本标准的序列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文件时，可以使用国家知识产权局专利局提供的序列表编辑软件来形成；也可以使用其它专利组织提供的软件（例如欧洲专利 局提供的Patentin）来形成；还可以使用任何纯文本文件编辑软件来形成。无论使用何种软件，所形成的电子文件都必须符合本标准的规定。</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6.3、 当申请人以光盘或软盘的形式提交序列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文件时，应当在提交的光盘或软盘上贴有永久性标记，注明申请人姓名或名称、发明名称、光盘或软盘中的文件名和提 交日期；申请人委托了代理人的，也可以任选地标注上代理机构给该申请的案卷号。对于申请人补交或提交修改的情况，应当注明申请号并注明“补交”或“修 改”。</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注明申请人姓名或名称等项内容时，应当使用本标准中的数字标识符，即应当标注上数字标识符，并在其后注明具体内容，例如：&lt;110&gt; ××基因开发有限公司。注明提交日期的格式为：YYYY－MM－DD。</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当序列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文件的字节数太大不能记录在一张软盘上时，应当将序列</w:t>
            </w:r>
            <w:proofErr w:type="gramStart"/>
            <w:r w:rsidRPr="002539F3">
              <w:rPr>
                <w:rFonts w:ascii="宋体" w:eastAsia="宋体" w:hAnsi="宋体" w:cs="宋体" w:hint="eastAsia"/>
                <w:kern w:val="0"/>
                <w:sz w:val="20"/>
                <w:szCs w:val="20"/>
              </w:rPr>
              <w:t>表电子</w:t>
            </w:r>
            <w:proofErr w:type="gramEnd"/>
            <w:r w:rsidRPr="002539F3">
              <w:rPr>
                <w:rFonts w:ascii="宋体" w:eastAsia="宋体" w:hAnsi="宋体" w:cs="宋体" w:hint="eastAsia"/>
                <w:kern w:val="0"/>
                <w:sz w:val="20"/>
                <w:szCs w:val="20"/>
              </w:rPr>
              <w:t>文件记录在一张光盘上提交。</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7 颁布和实施</w:t>
            </w:r>
          </w:p>
          <w:p w:rsidR="002539F3" w:rsidRPr="002539F3" w:rsidRDefault="002539F3" w:rsidP="002539F3">
            <w:pPr>
              <w:widowControl/>
              <w:spacing w:before="100" w:beforeAutospacing="1" w:after="100" w:afterAutospacing="1" w:line="480" w:lineRule="auto"/>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本标准由中华人民共和国国家知识产权局颁布，自2001年11月1日起实施。</w:t>
            </w:r>
          </w:p>
          <w:p w:rsidR="002539F3" w:rsidRPr="002539F3" w:rsidRDefault="002539F3" w:rsidP="002539F3">
            <w:pPr>
              <w:widowControl/>
              <w:spacing w:before="100" w:beforeAutospacing="1" w:after="100" w:afterAutospacing="1"/>
              <w:jc w:val="right"/>
              <w:rPr>
                <w:rFonts w:ascii="宋体" w:eastAsia="宋体" w:hAnsi="宋体" w:cs="宋体"/>
                <w:kern w:val="0"/>
                <w:sz w:val="24"/>
                <w:szCs w:val="24"/>
              </w:rPr>
            </w:pPr>
            <w:r w:rsidRPr="002539F3">
              <w:rPr>
                <w:rFonts w:ascii="宋体" w:eastAsia="宋体" w:hAnsi="宋体" w:cs="宋体" w:hint="eastAsia"/>
                <w:kern w:val="0"/>
                <w:sz w:val="20"/>
                <w:szCs w:val="20"/>
              </w:rPr>
              <w:t>中华人民共和国国家知识产权局</w:t>
            </w:r>
          </w:p>
          <w:p w:rsidR="002539F3" w:rsidRPr="002539F3" w:rsidRDefault="002539F3" w:rsidP="002539F3">
            <w:pPr>
              <w:widowControl/>
              <w:spacing w:before="100" w:beforeAutospacing="1" w:after="100" w:afterAutospacing="1"/>
              <w:jc w:val="right"/>
              <w:rPr>
                <w:rFonts w:ascii="宋体" w:eastAsia="宋体" w:hAnsi="宋体" w:cs="宋体"/>
                <w:kern w:val="0"/>
                <w:sz w:val="24"/>
                <w:szCs w:val="24"/>
              </w:rPr>
            </w:pPr>
            <w:r w:rsidRPr="002539F3">
              <w:rPr>
                <w:rFonts w:ascii="宋体" w:eastAsia="宋体" w:hAnsi="宋体" w:cs="宋体" w:hint="eastAsia"/>
                <w:kern w:val="0"/>
                <w:sz w:val="20"/>
                <w:szCs w:val="20"/>
              </w:rPr>
              <w:t>二ＯＯ一年十一月一日    </w:t>
            </w:r>
          </w:p>
          <w:p w:rsidR="002539F3" w:rsidRPr="002539F3" w:rsidRDefault="002539F3" w:rsidP="002539F3">
            <w:pPr>
              <w:widowControl/>
              <w:jc w:val="left"/>
              <w:rPr>
                <w:rFonts w:ascii="宋体" w:eastAsia="宋体" w:hAnsi="宋体" w:cs="宋体"/>
                <w:kern w:val="0"/>
                <w:sz w:val="24"/>
                <w:szCs w:val="24"/>
              </w:rPr>
            </w:pPr>
            <w:r w:rsidRPr="002539F3">
              <w:rPr>
                <w:rFonts w:ascii="宋体" w:eastAsia="宋体" w:hAnsi="宋体" w:cs="宋体" w:hint="eastAsia"/>
                <w:kern w:val="0"/>
                <w:sz w:val="24"/>
                <w:szCs w:val="24"/>
              </w:rPr>
              <w:t>附：欧洲专利局的Patentin软件，</w:t>
            </w:r>
            <w:hyperlink r:id="rId5" w:tgtFrame="_self" w:history="1">
              <w:r w:rsidRPr="002539F3">
                <w:rPr>
                  <w:rFonts w:ascii="宋体" w:eastAsia="宋体" w:hAnsi="宋体" w:cs="宋体" w:hint="eastAsia"/>
                  <w:color w:val="0000FF"/>
                  <w:kern w:val="0"/>
                  <w:sz w:val="24"/>
                  <w:szCs w:val="24"/>
                  <w:u w:val="single"/>
                </w:rPr>
                <w:t>点击下载</w:t>
              </w:r>
            </w:hyperlink>
            <w:r w:rsidRPr="002539F3">
              <w:rPr>
                <w:rFonts w:ascii="宋体" w:eastAsia="宋体" w:hAnsi="宋体" w:cs="宋体" w:hint="eastAsia"/>
                <w:kern w:val="0"/>
                <w:sz w:val="24"/>
                <w:szCs w:val="24"/>
              </w:rPr>
              <w:t>（文件为zip压缩）</w:t>
            </w:r>
          </w:p>
          <w:p w:rsidR="002539F3" w:rsidRPr="002539F3" w:rsidRDefault="002539F3" w:rsidP="002539F3">
            <w:pPr>
              <w:widowControl/>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 </w:t>
            </w:r>
          </w:p>
          <w:p w:rsidR="002539F3" w:rsidRPr="002539F3" w:rsidRDefault="002539F3" w:rsidP="002539F3">
            <w:pPr>
              <w:widowControl/>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 </w:t>
            </w:r>
          </w:p>
          <w:p w:rsidR="002539F3" w:rsidRPr="002539F3" w:rsidRDefault="002539F3" w:rsidP="002539F3">
            <w:pPr>
              <w:widowControl/>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附录1核苷酸和氨基酸符号和特征关键词表</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lastRenderedPageBreak/>
              <w:t>表1 核苷酸表</w:t>
            </w:r>
          </w:p>
          <w:tbl>
            <w:tblPr>
              <w:tblW w:w="81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3"/>
              <w:gridCol w:w="3132"/>
              <w:gridCol w:w="2885"/>
            </w:tblGrid>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符号</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含义</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名称的来源</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腺嘌呤</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鸟嘌呤</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胞嘧啶</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胸腺嘧啶</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r</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g或a</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嘌呤</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y</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t/u或c</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嘧啶</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a或c</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氨基</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k</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g或t/u</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proofErr w:type="gramStart"/>
                  <w:r w:rsidRPr="002539F3">
                    <w:rPr>
                      <w:rFonts w:ascii="宋体" w:eastAsia="宋体" w:hAnsi="宋体" w:cs="宋体" w:hint="eastAsia"/>
                      <w:kern w:val="0"/>
                      <w:sz w:val="20"/>
                      <w:szCs w:val="20"/>
                    </w:rPr>
                    <w:t>酮基</w:t>
                  </w:r>
                  <w:proofErr w:type="gramEnd"/>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g或c</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弱作用</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３Ｈ键</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w</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a或t/u</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强作用</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２Ｈ键</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b</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g或c或t/u</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非a</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a或g或t/u</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非c</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h</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a或c或t/u</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非g</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v</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a或g 或c</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非t,非u</w:t>
                  </w:r>
                </w:p>
              </w:tc>
            </w:tr>
            <w:tr w:rsidR="002539F3" w:rsidRPr="002539F3">
              <w:trPr>
                <w:trHeight w:val="60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w:t>
                  </w:r>
                </w:p>
              </w:tc>
              <w:tc>
                <w:tcPr>
                  <w:tcW w:w="19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a或g或c或t/u，未知，或其它</w:t>
                  </w:r>
                </w:p>
              </w:tc>
              <w:tc>
                <w:tcPr>
                  <w:tcW w:w="17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任何</w:t>
                  </w:r>
                </w:p>
              </w:tc>
            </w:tr>
          </w:tbl>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4"/>
                <w:szCs w:val="24"/>
              </w:rPr>
              <w:t xml:space="preserve">　</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表2 经修饰的核苷酸表</w:t>
            </w:r>
          </w:p>
          <w:tbl>
            <w:tblPr>
              <w:tblW w:w="81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6038"/>
            </w:tblGrid>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符号</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含义</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ac4c</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４－乙酰胞苷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chm5u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５－（羧羟甲基）尿苷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cm</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２'－O－甲基胞苷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cmnm5s2u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５－羧甲基氨甲基－２－硫代尿苷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cmnm5u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５－羧甲基氨甲基尿苷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二氢尿苷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fm</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２'－O－甲基假尿苷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gal q</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β，D－半乳糖Q核苷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gm</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２'－O－甲基鸟苷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i</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肌苷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i6a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Ｎ６－异戊烯基腺苷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mla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１－甲基腺苷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mlf</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１－甲基假尿苷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mlg</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１－甲基腺苷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mli</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１－甲基肌苷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m22g</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２'２－二甲基腺苷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m2a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２－甲基腺苷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m2g</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２－甲基鸟苷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m3c</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３－甲基胞苷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m5c</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５－甲基胞苷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m6a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Ｎ６－甲基腺苷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m7g</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７－甲基鸟苷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mam5u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５－甲基氨基甲基尿苷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mam5s2u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５－甲氧基氨基甲基－２－硫代尿苷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man q</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β，D－甘露糖Q核苷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mcm5s2u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５－甲氧基羰基甲基－２－硫代尿苷</w:t>
                  </w:r>
                </w:p>
              </w:tc>
            </w:tr>
            <w:tr w:rsidR="002539F3" w:rsidRPr="002539F3">
              <w:trPr>
                <w:trHeight w:val="420"/>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mcm5u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５－甲氧基羰基甲基尿苷</w:t>
                  </w:r>
                </w:p>
              </w:tc>
            </w:tr>
            <w:tr w:rsidR="002539F3" w:rsidRPr="002539F3">
              <w:trPr>
                <w:trHeight w:val="19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mo5u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５－甲氧基尿苷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ms2i6a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２－硫代甲基－Ｎ６－异戊烯基腺苷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ms2t6a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Ｎ－（（９－β－Ｄ－呋喃核糖基－２－硫代甲基嘌呤－６－Ｙl）氨基甲酰）苏氨酸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mt6a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Ｎ－（（９－β－Ｄ－呋喃核糖嘌呤－６－yl）N－甲基氨基甲酰）苏氨酸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mv</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尿苷－５－氧化乙酸－甲基酯</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o5u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尿苷－５－氧化乙酸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osyw</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Wybutoxosine</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假尿苷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q</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Q核苷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s2c</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２－硫代胞苷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s2t</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５－甲基－２硫代尿苷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s2u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２－硫代尿苷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s4u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４－硫代尿苷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５－甲基尿苷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t6a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Ｎ－（（９－β－Ｄ－呋喃核糖嘌呤－６－基）－氨基甲酰）苏氨酸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tm</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２'－Ｏ－甲基－５－甲基尿苷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um</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２'－Ｏ－甲基尿苷</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yw</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Wybutosine</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x</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３－（３－氨基－３－羧基－丙其）尿苷，（acp3）u</w:t>
                  </w:r>
                </w:p>
              </w:tc>
            </w:tr>
          </w:tbl>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4"/>
                <w:szCs w:val="24"/>
              </w:rPr>
              <w:t xml:space="preserve">　</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表3 三字母表示的氨基酸表</w:t>
            </w:r>
          </w:p>
          <w:tbl>
            <w:tblPr>
              <w:tblW w:w="81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6038"/>
            </w:tblGrid>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符号</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含义</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Ala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丙氨酸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Cys</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半胱氨酸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Asp</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天冬氨酸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谷氨酸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Phe</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苯丙氨酸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Gly</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甘氨酸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His</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组氨酸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Ile</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异亮氨酸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Lys</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赖氨酸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Leu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亮氨酸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Met</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蛋氨酸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Asn</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天</w:t>
                  </w:r>
                  <w:proofErr w:type="gramStart"/>
                  <w:r w:rsidRPr="002539F3">
                    <w:rPr>
                      <w:rFonts w:ascii="宋体" w:eastAsia="宋体" w:hAnsi="宋体" w:cs="宋体" w:hint="eastAsia"/>
                      <w:kern w:val="0"/>
                      <w:sz w:val="20"/>
                      <w:szCs w:val="20"/>
                    </w:rPr>
                    <w:t>冬酰酸</w:t>
                  </w:r>
                  <w:proofErr w:type="gramEnd"/>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Pro</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脯氨酸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Gln</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谷氨酰胺</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Arg</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精氨酸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Ser</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丝氨酸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Thr</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苏氨酸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Val</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缬氨酸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Trp</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色氨酸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Tyr</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酪氨酸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Asx</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天冬氨酸或天冬酰胺</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Glx</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谷氨酸或谷氨酰胺</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Xaa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未知或其它</w:t>
                  </w:r>
                </w:p>
              </w:tc>
            </w:tr>
          </w:tbl>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4"/>
                <w:szCs w:val="24"/>
              </w:rPr>
              <w:t xml:space="preserve">　</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表3 三字母表示的氨基酸表</w:t>
            </w:r>
          </w:p>
          <w:tbl>
            <w:tblPr>
              <w:tblW w:w="81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6038"/>
            </w:tblGrid>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符号</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含义</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Ala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丙氨酸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Cys</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半胱氨酸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Asp</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天冬氨酸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谷氨酸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Phe</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苯丙氨酸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Gly</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甘氨酸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His</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组氨酸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Ile</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异亮氨酸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Lys</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赖氨酸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Leu</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亮氨酸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Met</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蛋氨酸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Asn</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天</w:t>
                  </w:r>
                  <w:proofErr w:type="gramStart"/>
                  <w:r w:rsidRPr="002539F3">
                    <w:rPr>
                      <w:rFonts w:ascii="宋体" w:eastAsia="宋体" w:hAnsi="宋体" w:cs="宋体" w:hint="eastAsia"/>
                      <w:kern w:val="0"/>
                      <w:sz w:val="20"/>
                      <w:szCs w:val="20"/>
                    </w:rPr>
                    <w:t>冬酰酸</w:t>
                  </w:r>
                  <w:proofErr w:type="gramEnd"/>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Pro</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脯氨酸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Gln</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谷氨酰胺</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Arg</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精氨酸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Ser</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丝氨酸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Thr</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苏氨酸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Val</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缬氨酸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Trp</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色氨酸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Tyr</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酪氨酸</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Asx</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天冬氨酸或天冬酰胺</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Glx</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谷氨酸或谷氨酰胺</w:t>
                  </w:r>
                </w:p>
              </w:tc>
            </w:tr>
            <w:tr w:rsidR="002539F3" w:rsidRPr="002539F3">
              <w:trPr>
                <w:trHeight w:val="435"/>
                <w:tblCellSpacing w:w="0" w:type="dxa"/>
                <w:jc w:val="center"/>
              </w:trPr>
              <w:tc>
                <w:tcPr>
                  <w:tcW w:w="13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Xaa</w:t>
                  </w:r>
                </w:p>
              </w:tc>
              <w:tc>
                <w:tcPr>
                  <w:tcW w:w="37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未知或其它</w:t>
                  </w:r>
                </w:p>
              </w:tc>
            </w:tr>
          </w:tbl>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4"/>
                <w:szCs w:val="24"/>
              </w:rPr>
              <w:t xml:space="preserve">　</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表4 经修饰的和不常用的氨基酸表</w:t>
            </w:r>
          </w:p>
          <w:tbl>
            <w:tblPr>
              <w:tblW w:w="81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3"/>
              <w:gridCol w:w="5957"/>
            </w:tblGrid>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符号</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含义</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Aad</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２－氨基已二酸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bAad</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３－氨基已二酸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bAla</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β</w:t>
                  </w:r>
                  <w:proofErr w:type="gramStart"/>
                  <w:r w:rsidRPr="002539F3">
                    <w:rPr>
                      <w:rFonts w:ascii="宋体" w:eastAsia="宋体" w:hAnsi="宋体" w:cs="宋体" w:hint="eastAsia"/>
                      <w:kern w:val="0"/>
                      <w:sz w:val="20"/>
                      <w:szCs w:val="20"/>
                    </w:rPr>
                    <w:t>一</w:t>
                  </w:r>
                  <w:proofErr w:type="gramEnd"/>
                  <w:r w:rsidRPr="002539F3">
                    <w:rPr>
                      <w:rFonts w:ascii="宋体" w:eastAsia="宋体" w:hAnsi="宋体" w:cs="宋体" w:hint="eastAsia"/>
                      <w:kern w:val="0"/>
                      <w:sz w:val="20"/>
                      <w:szCs w:val="20"/>
                    </w:rPr>
                    <w:t>丙氨酸，β</w:t>
                  </w:r>
                  <w:proofErr w:type="gramStart"/>
                  <w:r w:rsidRPr="002539F3">
                    <w:rPr>
                      <w:rFonts w:ascii="宋体" w:eastAsia="宋体" w:hAnsi="宋体" w:cs="宋体" w:hint="eastAsia"/>
                      <w:kern w:val="0"/>
                      <w:sz w:val="20"/>
                      <w:szCs w:val="20"/>
                    </w:rPr>
                    <w:t>一</w:t>
                  </w:r>
                  <w:proofErr w:type="gramEnd"/>
                  <w:r w:rsidRPr="002539F3">
                    <w:rPr>
                      <w:rFonts w:ascii="宋体" w:eastAsia="宋体" w:hAnsi="宋体" w:cs="宋体" w:hint="eastAsia"/>
                      <w:kern w:val="0"/>
                      <w:sz w:val="20"/>
                      <w:szCs w:val="20"/>
                    </w:rPr>
                    <w:t>氨基丙酸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Abu</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２－氨基丁酸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4Abu</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４－氨基丁酸，哌啶酸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Acp</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６－氨基已酸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Ahe</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２－氨基庚酸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Aib</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２－氨基异丁酸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bAib</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３－氨基异丁酸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Apm</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２－氨基庚二酸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Dbu</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２，４</w:t>
                  </w:r>
                  <w:proofErr w:type="gramStart"/>
                  <w:r w:rsidRPr="002539F3">
                    <w:rPr>
                      <w:rFonts w:ascii="宋体" w:eastAsia="宋体" w:hAnsi="宋体" w:cs="宋体" w:hint="eastAsia"/>
                      <w:kern w:val="0"/>
                      <w:sz w:val="20"/>
                      <w:szCs w:val="20"/>
                    </w:rPr>
                    <w:t>二</w:t>
                  </w:r>
                  <w:proofErr w:type="gramEnd"/>
                  <w:r w:rsidRPr="002539F3">
                    <w:rPr>
                      <w:rFonts w:ascii="宋体" w:eastAsia="宋体" w:hAnsi="宋体" w:cs="宋体" w:hint="eastAsia"/>
                      <w:kern w:val="0"/>
                      <w:sz w:val="20"/>
                      <w:szCs w:val="20"/>
                    </w:rPr>
                    <w:t>氨基丁酸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Des</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proofErr w:type="gramStart"/>
                  <w:r w:rsidRPr="002539F3">
                    <w:rPr>
                      <w:rFonts w:ascii="宋体" w:eastAsia="宋体" w:hAnsi="宋体" w:cs="宋体" w:hint="eastAsia"/>
                      <w:kern w:val="0"/>
                      <w:sz w:val="20"/>
                      <w:szCs w:val="20"/>
                    </w:rPr>
                    <w:t>赖氨素</w:t>
                  </w:r>
                  <w:proofErr w:type="gramEnd"/>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Dpm</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２，２'－二氨基庚二酸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Dpr</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２，３－二氨基丙酸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EtGly</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Ｎ－乙基甘氨酸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EtAsn</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Ｎ－乙基天冬氨酸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Hyl</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羟基赖氨酸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aHyl</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别－羟基赖氨酸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3Hyp</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３－羟基脯氨酸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4Hyp</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４－羟基脯氨酸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Ide</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proofErr w:type="gramStart"/>
                  <w:r w:rsidRPr="002539F3">
                    <w:rPr>
                      <w:rFonts w:ascii="宋体" w:eastAsia="宋体" w:hAnsi="宋体" w:cs="宋体" w:hint="eastAsia"/>
                      <w:kern w:val="0"/>
                      <w:sz w:val="20"/>
                      <w:szCs w:val="20"/>
                    </w:rPr>
                    <w:t>异赖氨素</w:t>
                  </w:r>
                  <w:proofErr w:type="gramEnd"/>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aIle</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别－异亮氨酸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MeGly</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Ｎ－甲基甘氨酸，肌氨酸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MeIle</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Ｎ－甲基异亮氨酸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MeLys</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６－Ｎ－甲基赖氨酸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MeVal</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Ｎ－甲基缬氨酸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Nva</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正缬氨酸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Nle</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正亮氨酸</w:t>
                  </w:r>
                </w:p>
              </w:tc>
            </w:tr>
            <w:tr w:rsidR="002539F3" w:rsidRPr="002539F3">
              <w:trPr>
                <w:trHeight w:val="390"/>
                <w:tblCellSpacing w:w="0" w:type="dxa"/>
                <w:jc w:val="center"/>
              </w:trPr>
              <w:tc>
                <w:tcPr>
                  <w:tcW w:w="13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Orn</w:t>
                  </w:r>
                </w:p>
              </w:tc>
              <w:tc>
                <w:tcPr>
                  <w:tcW w:w="365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鸟氨酸</w:t>
                  </w:r>
                </w:p>
              </w:tc>
            </w:tr>
          </w:tbl>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4"/>
                <w:szCs w:val="24"/>
              </w:rPr>
              <w:t>表5 与核苷酸序列相关的特征关键词表</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kern w:val="0"/>
                <w:sz w:val="24"/>
                <w:szCs w:val="24"/>
              </w:rPr>
              <w:t xml:space="preserve">　 </w:t>
            </w:r>
          </w:p>
          <w:tbl>
            <w:tblPr>
              <w:tblW w:w="88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7230"/>
            </w:tblGrid>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关键词</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说明</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allele</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相关的个体或菌株含有相同基因的稳定的其它形式,</w:t>
                  </w:r>
                  <w:proofErr w:type="gramStart"/>
                  <w:r w:rsidRPr="002539F3">
                    <w:rPr>
                      <w:rFonts w:ascii="宋体" w:eastAsia="宋体" w:hAnsi="宋体" w:cs="宋体" w:hint="eastAsia"/>
                      <w:kern w:val="0"/>
                      <w:sz w:val="20"/>
                      <w:szCs w:val="20"/>
                    </w:rPr>
                    <w:t>该形式</w:t>
                  </w:r>
                  <w:proofErr w:type="gramEnd"/>
                  <w:r w:rsidRPr="002539F3">
                    <w:rPr>
                      <w:rFonts w:ascii="宋体" w:eastAsia="宋体" w:hAnsi="宋体" w:cs="宋体" w:hint="eastAsia"/>
                      <w:kern w:val="0"/>
                      <w:sz w:val="20"/>
                      <w:szCs w:val="20"/>
                    </w:rPr>
                    <w:t>区别</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于这一位置的现有的序列(和或许其它序列)</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attenuator</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numPr>
                      <w:ilvl w:val="0"/>
                      <w:numId w:val="1"/>
                    </w:numPr>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存在调节转录的终止的DNA区域,它控制了一些细菌操纵子的表达;</w:t>
                  </w:r>
                  <w:r w:rsidRPr="002539F3">
                    <w:rPr>
                      <w:rFonts w:ascii="宋体" w:eastAsia="宋体" w:hAnsi="宋体" w:cs="宋体"/>
                      <w:kern w:val="0"/>
                      <w:sz w:val="24"/>
                      <w:szCs w:val="24"/>
                    </w:rPr>
                    <w:t xml:space="preserve"> </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(2)位于启动子和第一个结构基因之间，引起转录的部分终止的序列区段</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C_region</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免疫球蛋白轻和重链的恒定区,和T-细胞受体α,β,和γ链；根据特定的链可</w:t>
                  </w:r>
                  <w:r w:rsidRPr="002539F3">
                    <w:rPr>
                      <w:rFonts w:ascii="宋体" w:eastAsia="宋体" w:hAnsi="宋体" w:cs="宋体" w:hint="eastAsia"/>
                      <w:kern w:val="0"/>
                      <w:sz w:val="20"/>
                      <w:szCs w:val="20"/>
                    </w:rPr>
                    <w:br/>
                    <w:t>包括一个或多个外显子</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CAAT_signal</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CAAT盒;位于可能参与RNA聚合酶结合的真核生物转录单位的起始点的75bp</w:t>
                  </w:r>
                  <w:r w:rsidRPr="002539F3">
                    <w:rPr>
                      <w:rFonts w:ascii="宋体" w:eastAsia="宋体" w:hAnsi="宋体" w:cs="宋体" w:hint="eastAsia"/>
                      <w:kern w:val="0"/>
                      <w:sz w:val="20"/>
                      <w:szCs w:val="20"/>
                    </w:rPr>
                    <w:br/>
                    <w:t>上游的保守序列的一部分；共有序列＝GG(C或T)CAATCT</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CDS</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编码序列;对应于蛋白质中的氨基酸序列的核苷酸的序列(位置包括终止密码子)</w:t>
                  </w:r>
                  <w:r w:rsidRPr="002539F3">
                    <w:rPr>
                      <w:rFonts w:ascii="宋体" w:eastAsia="宋体" w:hAnsi="宋体" w:cs="宋体" w:hint="eastAsia"/>
                      <w:kern w:val="0"/>
                      <w:sz w:val="20"/>
                      <w:szCs w:val="20"/>
                    </w:rPr>
                    <w:br/>
                    <w:t>;特征包括氨基酸概念上的翻译</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Conflict</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在这一位点或区域,单独确定的“相同”序列有所不同</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lastRenderedPageBreak/>
                    <w:t>D-loop</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置换环；线粒体DNA内的一个区域,其中RNA的短的序列与DNA的一条链配对,</w:t>
                  </w:r>
                  <w:r w:rsidRPr="002539F3">
                    <w:rPr>
                      <w:rFonts w:ascii="宋体" w:eastAsia="宋体" w:hAnsi="宋体" w:cs="宋体" w:hint="eastAsia"/>
                      <w:kern w:val="0"/>
                      <w:sz w:val="20"/>
                      <w:szCs w:val="20"/>
                    </w:rPr>
                    <w:br/>
                    <w:t>代替了这一区域的原始配对DNA链;也用于说明在RecA蛋白质催化的反应中，</w:t>
                  </w:r>
                  <w:r w:rsidRPr="002539F3">
                    <w:rPr>
                      <w:rFonts w:ascii="宋体" w:eastAsia="宋体" w:hAnsi="宋体" w:cs="宋体" w:hint="eastAsia"/>
                      <w:kern w:val="0"/>
                      <w:sz w:val="20"/>
                      <w:szCs w:val="20"/>
                    </w:rPr>
                    <w:br/>
                    <w:t>侵入的单链替代双链DNA的一条链的区域</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D-segment</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免疫球蛋白重链的</w:t>
                  </w:r>
                  <w:proofErr w:type="gramStart"/>
                  <w:r w:rsidRPr="002539F3">
                    <w:rPr>
                      <w:rFonts w:ascii="宋体" w:eastAsia="宋体" w:hAnsi="宋体" w:cs="宋体" w:hint="eastAsia"/>
                      <w:kern w:val="0"/>
                      <w:sz w:val="20"/>
                      <w:szCs w:val="20"/>
                    </w:rPr>
                    <w:t>多变区</w:t>
                  </w:r>
                  <w:proofErr w:type="gramEnd"/>
                  <w:r w:rsidRPr="002539F3">
                    <w:rPr>
                      <w:rFonts w:ascii="宋体" w:eastAsia="宋体" w:hAnsi="宋体" w:cs="宋体" w:hint="eastAsia"/>
                      <w:kern w:val="0"/>
                      <w:sz w:val="20"/>
                      <w:szCs w:val="20"/>
                    </w:rPr>
                    <w:t>,和T-细胞受体的β链</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Enhancer</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顺式-作用序列,它增强了(一些)真核生物启动子的作用,并能在任</w:t>
                  </w:r>
                  <w:proofErr w:type="gramStart"/>
                  <w:r w:rsidRPr="002539F3">
                    <w:rPr>
                      <w:rFonts w:ascii="宋体" w:eastAsia="宋体" w:hAnsi="宋体" w:cs="宋体" w:hint="eastAsia"/>
                      <w:kern w:val="0"/>
                      <w:sz w:val="20"/>
                      <w:szCs w:val="20"/>
                    </w:rPr>
                    <w:t>一</w:t>
                  </w:r>
                  <w:proofErr w:type="gramEnd"/>
                  <w:r w:rsidRPr="002539F3">
                    <w:rPr>
                      <w:rFonts w:ascii="宋体" w:eastAsia="宋体" w:hAnsi="宋体" w:cs="宋体" w:hint="eastAsia"/>
                      <w:kern w:val="0"/>
                      <w:sz w:val="20"/>
                      <w:szCs w:val="20"/>
                    </w:rPr>
                    <w:t>方向和与</w:t>
                  </w:r>
                  <w:r w:rsidRPr="002539F3">
                    <w:rPr>
                      <w:rFonts w:ascii="宋体" w:eastAsia="宋体" w:hAnsi="宋体" w:cs="宋体" w:hint="eastAsia"/>
                      <w:kern w:val="0"/>
                      <w:sz w:val="20"/>
                      <w:szCs w:val="20"/>
                    </w:rPr>
                    <w:br/>
                    <w:t>启动子相关的任何位置处 (上游或</w:t>
                  </w:r>
                  <w:proofErr w:type="gramStart"/>
                  <w:r w:rsidRPr="002539F3">
                    <w:rPr>
                      <w:rFonts w:ascii="宋体" w:eastAsia="宋体" w:hAnsi="宋体" w:cs="宋体" w:hint="eastAsia"/>
                      <w:kern w:val="0"/>
                      <w:sz w:val="20"/>
                      <w:szCs w:val="20"/>
                    </w:rPr>
                    <w:t>下游)</w:t>
                  </w:r>
                  <w:proofErr w:type="gramEnd"/>
                  <w:r w:rsidRPr="002539F3">
                    <w:rPr>
                      <w:rFonts w:ascii="宋体" w:eastAsia="宋体" w:hAnsi="宋体" w:cs="宋体" w:hint="eastAsia"/>
                      <w:kern w:val="0"/>
                      <w:sz w:val="20"/>
                      <w:szCs w:val="20"/>
                    </w:rPr>
                    <w:t>起作用</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Exon</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编码剪接mRNA部分的基因组区域;可以含有5'UTR,所有CDS,和3'UTR</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GC_signal</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GC盒;位于真核生物转录单位起始点上游的保守的富含GC区域,可以以多重拷贝</w:t>
                  </w:r>
                  <w:r w:rsidRPr="002539F3">
                    <w:rPr>
                      <w:rFonts w:ascii="宋体" w:eastAsia="宋体" w:hAnsi="宋体" w:cs="宋体" w:hint="eastAsia"/>
                      <w:kern w:val="0"/>
                      <w:sz w:val="20"/>
                      <w:szCs w:val="20"/>
                    </w:rPr>
                    <w:br/>
                    <w:t>或任</w:t>
                  </w:r>
                  <w:proofErr w:type="gramStart"/>
                  <w:r w:rsidRPr="002539F3">
                    <w:rPr>
                      <w:rFonts w:ascii="宋体" w:eastAsia="宋体" w:hAnsi="宋体" w:cs="宋体" w:hint="eastAsia"/>
                      <w:kern w:val="0"/>
                      <w:sz w:val="20"/>
                      <w:szCs w:val="20"/>
                    </w:rPr>
                    <w:t>一</w:t>
                  </w:r>
                  <w:proofErr w:type="gramEnd"/>
                  <w:r w:rsidRPr="002539F3">
                    <w:rPr>
                      <w:rFonts w:ascii="宋体" w:eastAsia="宋体" w:hAnsi="宋体" w:cs="宋体" w:hint="eastAsia"/>
                      <w:kern w:val="0"/>
                      <w:sz w:val="20"/>
                      <w:szCs w:val="20"/>
                    </w:rPr>
                    <w:t>方向存在;共有序列=GGGCGG</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gene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鉴定为基因的生物学意义的区域,并已经指定名称</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iDNA</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间插DNA;通过几种重组中的任何一种能被消除的DNA</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intron</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kern w:val="0"/>
                      <w:sz w:val="24"/>
                      <w:szCs w:val="24"/>
                    </w:rPr>
                    <w:t xml:space="preserve">　</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被转录的DNA区段,但通过同时剪接位于其两侧的序列(外显子)即可从转录本内</w:t>
                  </w:r>
                  <w:r w:rsidRPr="002539F3">
                    <w:rPr>
                      <w:rFonts w:ascii="宋体" w:eastAsia="宋体" w:hAnsi="宋体" w:cs="宋体" w:hint="eastAsia"/>
                      <w:kern w:val="0"/>
                      <w:sz w:val="20"/>
                      <w:szCs w:val="20"/>
                    </w:rPr>
                    <w:br/>
                    <w:t>部将其除去</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J_segment</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免疫球蛋白轻链和重链的连接区段,和T-细胞受体α,β和γ链</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LTR</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长的末端重复,在确定序列的两端直接重复的序列, 类型典型地见于逆转录病毒中</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mat_peptide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成熟的肽或蛋白质的编码序列;翻译后修饰之后成熟的或最终的肽或蛋白质产物</w:t>
                  </w:r>
                  <w:r w:rsidRPr="002539F3">
                    <w:rPr>
                      <w:rFonts w:ascii="宋体" w:eastAsia="宋体" w:hAnsi="宋体" w:cs="宋体" w:hint="eastAsia"/>
                      <w:kern w:val="0"/>
                      <w:sz w:val="20"/>
                      <w:szCs w:val="20"/>
                    </w:rPr>
                    <w:br/>
                    <w:t>的编码序列;位置不包括终止密码子(与相应的CDS不同)</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misc_binding</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不能用任何其它Binding关键词(primer_bind或protein_bind)表述的与另一个</w:t>
                  </w:r>
                  <w:r w:rsidRPr="002539F3">
                    <w:rPr>
                      <w:rFonts w:ascii="宋体" w:eastAsia="宋体" w:hAnsi="宋体" w:cs="宋体" w:hint="eastAsia"/>
                      <w:kern w:val="0"/>
                      <w:sz w:val="20"/>
                      <w:szCs w:val="20"/>
                    </w:rPr>
                    <w:br/>
                    <w:t>组成成分共价或非-共价结合的核酸中的位点</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misc_</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difference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特征序列与记载中存在的有所不同,并且不能用任何其它不同关键词(conflict,unsure,old_sequence,mutation,variation,allele或modified_base)</w:t>
                  </w:r>
                  <w:r w:rsidRPr="002539F3">
                    <w:rPr>
                      <w:rFonts w:ascii="宋体" w:eastAsia="宋体" w:hAnsi="宋体" w:cs="宋体" w:hint="eastAsia"/>
                      <w:kern w:val="0"/>
                      <w:sz w:val="20"/>
                      <w:szCs w:val="20"/>
                    </w:rPr>
                    <w:br/>
                    <w:t>表述</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misc_feature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不能用任何其它的特征关键词表述的具有生物学意义的区域;新的或少见的特征</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misc_recomb</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任何一般性的,位点特异性的或复制的重组事件的位点,该位点中有不能用其它重组</w:t>
                  </w:r>
                  <w:r w:rsidRPr="002539F3">
                    <w:rPr>
                      <w:rFonts w:ascii="宋体" w:eastAsia="宋体" w:hAnsi="宋体" w:cs="宋体" w:hint="eastAsia"/>
                      <w:kern w:val="0"/>
                      <w:sz w:val="20"/>
                      <w:szCs w:val="20"/>
                    </w:rPr>
                    <w:br/>
                    <w:t>关键词(iDNA和virion)或来源关键词的修饰词(/transposon,/proviral)表述的</w:t>
                  </w:r>
                  <w:r w:rsidRPr="002539F3">
                    <w:rPr>
                      <w:rFonts w:ascii="宋体" w:eastAsia="宋体" w:hAnsi="宋体" w:cs="宋体" w:hint="eastAsia"/>
                      <w:kern w:val="0"/>
                      <w:sz w:val="20"/>
                      <w:szCs w:val="20"/>
                    </w:rPr>
                    <w:br/>
                    <w:t>双螺旋DNA的断裂和愈合</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misc_RNA</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不能用其他RNA关键词（prim_transcript,precursor_RNA,mRNA,5'clip,3'clip,5'UTR,3'UTR,exon,CDS,</w:t>
                  </w:r>
                  <w:r w:rsidRPr="002539F3">
                    <w:rPr>
                      <w:rFonts w:ascii="宋体" w:eastAsia="宋体" w:hAnsi="宋体" w:cs="宋体" w:hint="eastAsia"/>
                      <w:kern w:val="0"/>
                      <w:sz w:val="20"/>
                      <w:szCs w:val="20"/>
                    </w:rPr>
                    <w:br/>
                    <w:t>sig_peptide,transit__ __peptide,mat_peptide,intron,polyA_site,</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rRNA,tRNA,scRNA和snRNA)限定的任何转录本或RNA产物</w:t>
                  </w:r>
                </w:p>
              </w:tc>
            </w:tr>
            <w:tr w:rsidR="002539F3" w:rsidRPr="002539F3" w:rsidTr="002539F3">
              <w:trPr>
                <w:trHeight w:val="42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misc_signal</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含有控制或改变基因功能或表达之信 号的任何区域,所述信号不能用其他Signal关键词(promoter,CAAT_signal,TATA_signal,- 35_signal,10_signal,GC_signal,RBS,polyA_signal,enhancer,attenuator,</w:t>
                  </w:r>
                  <w:r w:rsidRPr="002539F3">
                    <w:rPr>
                      <w:rFonts w:ascii="宋体" w:eastAsia="宋体" w:hAnsi="宋体" w:cs="宋体" w:hint="eastAsia"/>
                      <w:kern w:val="0"/>
                      <w:sz w:val="20"/>
                      <w:szCs w:val="20"/>
                    </w:rPr>
                    <w:br/>
                    <w:t>terminator,和rep_origin)表述</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lastRenderedPageBreak/>
                    <w:t>misc_structure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不能用其他Structure关键词(stem_loop和D-loop)表述的任何二级或三级结构或构象</w:t>
                  </w:r>
                </w:p>
              </w:tc>
            </w:tr>
            <w:tr w:rsidR="002539F3" w:rsidRPr="002539F3" w:rsidTr="002539F3">
              <w:trPr>
                <w:trHeight w:val="43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modified_base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被指示的核苷酸是经修饰的核苷酸,并应由被指示的分子(在mod_base修饰词意义中给出)所取代</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mRNA</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信使RNA；包括5'非翻译区(5'UTR)，编码序列(CDS，外显子)和３'非翻译区（３'UTR）</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mutation</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在此位置处，相关品系的序列中具有突然的，可遗传的变化</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N_region</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在重排的免疫球蛋白区段之间插入的额外的核苷酸</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Old_sequence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在此位置处，所表述的序列修改了此序列以前的版本</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PolyA_signal</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聚腺苷酸化之后内切核酸酶裂解RNA转录本所必需的识别区域；共有序列＝AATAAA</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PolyA_site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RNA转录本上的位点,通过转录后</w:t>
                  </w:r>
                  <w:proofErr w:type="gramStart"/>
                  <w:r w:rsidRPr="002539F3">
                    <w:rPr>
                      <w:rFonts w:ascii="宋体" w:eastAsia="宋体" w:hAnsi="宋体" w:cs="宋体" w:hint="eastAsia"/>
                      <w:kern w:val="0"/>
                      <w:sz w:val="20"/>
                      <w:szCs w:val="20"/>
                    </w:rPr>
                    <w:t>聚腺苷酸化该位点</w:t>
                  </w:r>
                  <w:proofErr w:type="gramEnd"/>
                  <w:r w:rsidRPr="002539F3">
                    <w:rPr>
                      <w:rFonts w:ascii="宋体" w:eastAsia="宋体" w:hAnsi="宋体" w:cs="宋体" w:hint="eastAsia"/>
                      <w:kern w:val="0"/>
                      <w:sz w:val="20"/>
                      <w:szCs w:val="20"/>
                    </w:rPr>
                    <w:t>将被加上腺嘌呤残基</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Precursor_RNA</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仍不是成熟的RNA产物的任何RNA种类；可包括5'剪切区(5'clip)，5'非翻译区(5'UTR)，编码序列(CDS，外显子)，间插序列（内含子），3'非翻译区（3'UTR）,和3'剪切区(3'clip)</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prim_transcript</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初级（最初的，未加工的）转录本；包括５'剪切区（５'clip）,５'非翻译区（５'UTR）,编码序列(CDS,外显子),间插序列(内含子),3'非翻译区(3'UTR)和3'剪切区(3'clip)</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prim_bind</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起始复制,转录或逆转录的非－共价的引物结合位点;包括合成的例如PCR引物元件的位点</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Promoter</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参与RNA聚合酶的结合以启动转录的DNA分子区域</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protein_bind</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核酸上非－共价的蛋白质结合位点</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RBS</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核糖体结合位点</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repeat_region</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含有重复单位的基因组区域</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repeat_unit</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单个重复元件</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rep_origin</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复制起点;复制核酸以得到两个相同拷贝的起始位点</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RRNA</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成熟的核糖体RNA；将氨基酸装配成蛋白质的核糖核蛋白颗粒（核糖体）中的RNA成份</w:t>
                  </w:r>
                </w:p>
              </w:tc>
            </w:tr>
            <w:tr w:rsidR="002539F3" w:rsidRPr="002539F3" w:rsidTr="002539F3">
              <w:trPr>
                <w:trHeight w:val="495"/>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S_region</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免疫球蛋白重链的开关区；它参与重链DNA的重排,导致来自相同B－细胞的不同免疫球蛋白类的表达</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Satellite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短的基本重复单位的很多串联重复(相同或相关的);大多数具有的碱基组成或其它性质与基因组的一般水平不同,这使得它们与大部分(主带)的基因组DNA分离开来</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ScRNA</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小的细胞质RNA;几个小的细胞质ＲＮＡ分子中的任何一个存在于真核生物的细胞质和（有时）核中</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sig_peptide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信号肽编码序列；被分泌的蛋白质的Ｎ－末端结构域的编码序列；此结构</w:t>
                  </w:r>
                  <w:proofErr w:type="gramStart"/>
                  <w:r w:rsidRPr="002539F3">
                    <w:rPr>
                      <w:rFonts w:ascii="宋体" w:eastAsia="宋体" w:hAnsi="宋体" w:cs="宋体" w:hint="eastAsia"/>
                      <w:kern w:val="0"/>
                      <w:sz w:val="20"/>
                      <w:szCs w:val="20"/>
                    </w:rPr>
                    <w:t>域涉及</w:t>
                  </w:r>
                  <w:proofErr w:type="gramEnd"/>
                  <w:r w:rsidRPr="002539F3">
                    <w:rPr>
                      <w:rFonts w:ascii="宋体" w:eastAsia="宋体" w:hAnsi="宋体" w:cs="宋体" w:hint="eastAsia"/>
                      <w:kern w:val="0"/>
                      <w:sz w:val="20"/>
                      <w:szCs w:val="20"/>
                    </w:rPr>
                    <w:t>新生多肽与膜的结合；前导序列</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lastRenderedPageBreak/>
                    <w:t>SnRNA</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小的核RNA；很多小的RNA种类中的任何一个都被局限于核中；几个snRNA参与剪接或其它RNA加工反应</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source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鉴定序列中特定范围的生物来源；此关键词是强制性的；每一项至少要有一个跨越整个序列的单一来源关键词；每个序列可允许有一个以上的来源关键词</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stem_loop</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发卡结构；由RNA或DNA单链的相邻（反向）互补序列之间的碱基</w:t>
                  </w:r>
                  <w:proofErr w:type="gramStart"/>
                  <w:r w:rsidRPr="002539F3">
                    <w:rPr>
                      <w:rFonts w:ascii="宋体" w:eastAsia="宋体" w:hAnsi="宋体" w:cs="宋体" w:hint="eastAsia"/>
                      <w:kern w:val="0"/>
                      <w:sz w:val="20"/>
                      <w:szCs w:val="20"/>
                    </w:rPr>
                    <w:t>一</w:t>
                  </w:r>
                  <w:proofErr w:type="gramEnd"/>
                  <w:r w:rsidRPr="002539F3">
                    <w:rPr>
                      <w:rFonts w:ascii="宋体" w:eastAsia="宋体" w:hAnsi="宋体" w:cs="宋体" w:hint="eastAsia"/>
                      <w:kern w:val="0"/>
                      <w:sz w:val="20"/>
                      <w:szCs w:val="20"/>
                    </w:rPr>
                    <w:t>配对形成的双螺旋区域</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STS</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序列标记位点：表述基因组上作图界标并能通过PCR检测的短的，单拷贝DNA序列；通过测定STS系列的次序即可</w:t>
                  </w:r>
                  <w:proofErr w:type="gramStart"/>
                  <w:r w:rsidRPr="002539F3">
                    <w:rPr>
                      <w:rFonts w:ascii="宋体" w:eastAsia="宋体" w:hAnsi="宋体" w:cs="宋体" w:hint="eastAsia"/>
                      <w:kern w:val="0"/>
                      <w:sz w:val="20"/>
                      <w:szCs w:val="20"/>
                    </w:rPr>
                    <w:t>作出</w:t>
                  </w:r>
                  <w:proofErr w:type="gramEnd"/>
                  <w:r w:rsidRPr="002539F3">
                    <w:rPr>
                      <w:rFonts w:ascii="宋体" w:eastAsia="宋体" w:hAnsi="宋体" w:cs="宋体" w:hint="eastAsia"/>
                      <w:kern w:val="0"/>
                      <w:sz w:val="20"/>
                      <w:szCs w:val="20"/>
                    </w:rPr>
                    <w:t>图谱的基因组区域</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TATA_signal</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TATA盒；Goldberg-Hogness盒；在每个真核生物RNA聚合酶Ⅱ转录单位起点前约25bp处发现的保守的富含AT</w:t>
                  </w:r>
                  <w:proofErr w:type="gramStart"/>
                  <w:r w:rsidRPr="002539F3">
                    <w:rPr>
                      <w:rFonts w:ascii="宋体" w:eastAsia="宋体" w:hAnsi="宋体" w:cs="宋体" w:hint="eastAsia"/>
                      <w:kern w:val="0"/>
                      <w:sz w:val="20"/>
                      <w:szCs w:val="20"/>
                    </w:rPr>
                    <w:t>的七聚体</w:t>
                  </w:r>
                  <w:proofErr w:type="gramEnd"/>
                  <w:r w:rsidRPr="002539F3">
                    <w:rPr>
                      <w:rFonts w:ascii="宋体" w:eastAsia="宋体" w:hAnsi="宋体" w:cs="宋体" w:hint="eastAsia"/>
                      <w:kern w:val="0"/>
                      <w:sz w:val="20"/>
                      <w:szCs w:val="20"/>
                    </w:rPr>
                    <w:t>，它可能涉及使酶定位以正确地起始；共有序列＝TATA（Ａ或Ｔ）Ａ（Ａ或Ｔ）</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terminator</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或者位于转录本的末端或者与启动子区域相邻的DNA序列，该序列可导致RNA聚合酶终止转录；也可以是阻抑蛋白的结合位点</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transit_peptide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转运</w:t>
                  </w:r>
                  <w:proofErr w:type="gramStart"/>
                  <w:r w:rsidRPr="002539F3">
                    <w:rPr>
                      <w:rFonts w:ascii="宋体" w:eastAsia="宋体" w:hAnsi="宋体" w:cs="宋体" w:hint="eastAsia"/>
                      <w:kern w:val="0"/>
                      <w:sz w:val="20"/>
                      <w:szCs w:val="20"/>
                    </w:rPr>
                    <w:t>肽</w:t>
                  </w:r>
                  <w:proofErr w:type="gramEnd"/>
                  <w:r w:rsidRPr="002539F3">
                    <w:rPr>
                      <w:rFonts w:ascii="宋体" w:eastAsia="宋体" w:hAnsi="宋体" w:cs="宋体" w:hint="eastAsia"/>
                      <w:kern w:val="0"/>
                      <w:sz w:val="20"/>
                      <w:szCs w:val="20"/>
                    </w:rPr>
                    <w:t>编码序列；核编码的细胞器蛋白质Ｎ－末端结构域的编码序列；此结构</w:t>
                  </w:r>
                  <w:proofErr w:type="gramStart"/>
                  <w:r w:rsidRPr="002539F3">
                    <w:rPr>
                      <w:rFonts w:ascii="宋体" w:eastAsia="宋体" w:hAnsi="宋体" w:cs="宋体" w:hint="eastAsia"/>
                      <w:kern w:val="0"/>
                      <w:sz w:val="20"/>
                      <w:szCs w:val="20"/>
                    </w:rPr>
                    <w:t>域参与</w:t>
                  </w:r>
                  <w:proofErr w:type="gramEnd"/>
                  <w:r w:rsidRPr="002539F3">
                    <w:rPr>
                      <w:rFonts w:ascii="宋体" w:eastAsia="宋体" w:hAnsi="宋体" w:cs="宋体" w:hint="eastAsia"/>
                      <w:kern w:val="0"/>
                      <w:sz w:val="20"/>
                      <w:szCs w:val="20"/>
                    </w:rPr>
                    <w:t>将蛋白质翻译后运送到细胞器中</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tRNA</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成熟的转移RNA,，小的RNA分子（75－85个碱基长），</w:t>
                  </w:r>
                  <w:proofErr w:type="gramStart"/>
                  <w:r w:rsidRPr="002539F3">
                    <w:rPr>
                      <w:rFonts w:ascii="宋体" w:eastAsia="宋体" w:hAnsi="宋体" w:cs="宋体" w:hint="eastAsia"/>
                      <w:kern w:val="0"/>
                      <w:sz w:val="20"/>
                      <w:szCs w:val="20"/>
                    </w:rPr>
                    <w:t>介</w:t>
                  </w:r>
                  <w:proofErr w:type="gramEnd"/>
                  <w:r w:rsidRPr="002539F3">
                    <w:rPr>
                      <w:rFonts w:ascii="宋体" w:eastAsia="宋体" w:hAnsi="宋体" w:cs="宋体" w:hint="eastAsia"/>
                      <w:kern w:val="0"/>
                      <w:sz w:val="20"/>
                      <w:szCs w:val="20"/>
                    </w:rPr>
                    <w:t>导核酸序列翻译成氨基酸序列</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unsure</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作者不能确定此区域的准确序列</w:t>
                  </w:r>
                </w:p>
              </w:tc>
            </w:tr>
            <w:tr w:rsidR="002539F3" w:rsidRPr="002539F3" w:rsidTr="002539F3">
              <w:trPr>
                <w:trHeight w:val="21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V_region</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免疫球蛋白轻链和重链的可变区，和Ｔ－细胞受体α，β和γ链；编码可变的氨基末端部分；可由V＿segment,D_segment,N_region和J_segment组成</w:t>
                  </w:r>
                </w:p>
              </w:tc>
            </w:tr>
            <w:tr w:rsidR="002539F3" w:rsidRPr="002539F3" w:rsidTr="002539F3">
              <w:trPr>
                <w:trHeight w:val="60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V_segment</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免疫球蛋白轻链和重链的可变区段，和T －细胞受体α，β和γ链；编码大多数可变区（v_region）和前导肽的最后几个氨基酸</w:t>
                  </w:r>
                </w:p>
              </w:tc>
            </w:tr>
            <w:tr w:rsidR="002539F3" w:rsidRPr="002539F3" w:rsidTr="002539F3">
              <w:trPr>
                <w:trHeight w:val="60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variation</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含有来自相同基因的稳定突变的相关系列（例如RFLP，多态性等），在此（和可能其它）位置处所</w:t>
                  </w:r>
                  <w:proofErr w:type="gramStart"/>
                  <w:r w:rsidRPr="002539F3">
                    <w:rPr>
                      <w:rFonts w:ascii="宋体" w:eastAsia="宋体" w:hAnsi="宋体" w:cs="宋体" w:hint="eastAsia"/>
                      <w:kern w:val="0"/>
                      <w:sz w:val="20"/>
                      <w:szCs w:val="20"/>
                    </w:rPr>
                    <w:t>述相同</w:t>
                  </w:r>
                  <w:proofErr w:type="gramEnd"/>
                  <w:r w:rsidRPr="002539F3">
                    <w:rPr>
                      <w:rFonts w:ascii="宋体" w:eastAsia="宋体" w:hAnsi="宋体" w:cs="宋体" w:hint="eastAsia"/>
                      <w:kern w:val="0"/>
                      <w:sz w:val="20"/>
                      <w:szCs w:val="20"/>
                    </w:rPr>
                    <w:t>基因与被表述的不同</w:t>
                  </w:r>
                </w:p>
              </w:tc>
            </w:tr>
            <w:tr w:rsidR="002539F3" w:rsidRPr="002539F3" w:rsidTr="002539F3">
              <w:trPr>
                <w:trHeight w:val="60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3</w:t>
                  </w:r>
                  <w:r w:rsidRPr="002539F3">
                    <w:rPr>
                      <w:rFonts w:ascii="宋体" w:eastAsia="宋体" w:hAnsi="宋体" w:cs="宋体"/>
                      <w:kern w:val="0"/>
                      <w:sz w:val="20"/>
                      <w:szCs w:val="20"/>
                    </w:rPr>
                    <w:t>’</w:t>
                  </w:r>
                  <w:r w:rsidRPr="002539F3">
                    <w:rPr>
                      <w:rFonts w:ascii="宋体" w:eastAsia="宋体" w:hAnsi="宋体" w:cs="宋体" w:hint="eastAsia"/>
                      <w:kern w:val="0"/>
                      <w:sz w:val="20"/>
                      <w:szCs w:val="20"/>
                    </w:rPr>
                    <w:t>clip</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在加工过程中被切下的前体转录本3'端大部分区域</w:t>
                  </w:r>
                </w:p>
              </w:tc>
            </w:tr>
            <w:tr w:rsidR="002539F3" w:rsidRPr="002539F3" w:rsidTr="002539F3">
              <w:trPr>
                <w:trHeight w:val="60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3</w:t>
                  </w:r>
                  <w:r w:rsidRPr="002539F3">
                    <w:rPr>
                      <w:rFonts w:ascii="宋体" w:eastAsia="宋体" w:hAnsi="宋体" w:cs="宋体"/>
                      <w:kern w:val="0"/>
                      <w:sz w:val="20"/>
                      <w:szCs w:val="20"/>
                    </w:rPr>
                    <w:t>’</w:t>
                  </w:r>
                  <w:r w:rsidRPr="002539F3">
                    <w:rPr>
                      <w:rFonts w:ascii="宋体" w:eastAsia="宋体" w:hAnsi="宋体" w:cs="宋体" w:hint="eastAsia"/>
                      <w:kern w:val="0"/>
                      <w:sz w:val="20"/>
                      <w:szCs w:val="20"/>
                    </w:rPr>
                    <w:t>UTP</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不被翻译成蛋白质的成熟转录本的３'末端区域（终止密码子之后）</w:t>
                  </w:r>
                </w:p>
              </w:tc>
            </w:tr>
            <w:tr w:rsidR="002539F3" w:rsidRPr="002539F3" w:rsidTr="002539F3">
              <w:trPr>
                <w:trHeight w:val="60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5</w:t>
                  </w:r>
                  <w:r w:rsidRPr="002539F3">
                    <w:rPr>
                      <w:rFonts w:ascii="宋体" w:eastAsia="宋体" w:hAnsi="宋体" w:cs="宋体"/>
                      <w:kern w:val="0"/>
                      <w:sz w:val="20"/>
                      <w:szCs w:val="20"/>
                    </w:rPr>
                    <w:t>’</w:t>
                  </w:r>
                  <w:r w:rsidRPr="002539F3">
                    <w:rPr>
                      <w:rFonts w:ascii="宋体" w:eastAsia="宋体" w:hAnsi="宋体" w:cs="宋体" w:hint="eastAsia"/>
                      <w:kern w:val="0"/>
                      <w:sz w:val="20"/>
                      <w:szCs w:val="20"/>
                    </w:rPr>
                    <w:t>clip</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在加工过程中被切下的前体转录本５'端大部分区域</w:t>
                  </w:r>
                </w:p>
              </w:tc>
            </w:tr>
            <w:tr w:rsidR="002539F3" w:rsidRPr="002539F3" w:rsidTr="002539F3">
              <w:trPr>
                <w:trHeight w:val="60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5</w:t>
                  </w:r>
                  <w:r w:rsidRPr="002539F3">
                    <w:rPr>
                      <w:rFonts w:ascii="宋体" w:eastAsia="宋体" w:hAnsi="宋体" w:cs="宋体"/>
                      <w:kern w:val="0"/>
                      <w:sz w:val="20"/>
                      <w:szCs w:val="20"/>
                    </w:rPr>
                    <w:t>’</w:t>
                  </w:r>
                  <w:r w:rsidRPr="002539F3">
                    <w:rPr>
                      <w:rFonts w:ascii="宋体" w:eastAsia="宋体" w:hAnsi="宋体" w:cs="宋体" w:hint="eastAsia"/>
                      <w:kern w:val="0"/>
                      <w:sz w:val="20"/>
                      <w:szCs w:val="20"/>
                    </w:rPr>
                    <w:t>UTP</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不被翻译成蛋白质的成熟转录本的５'末端区域（起始密码子之前）</w:t>
                  </w:r>
                </w:p>
              </w:tc>
            </w:tr>
            <w:tr w:rsidR="002539F3" w:rsidRPr="002539F3" w:rsidTr="002539F3">
              <w:trPr>
                <w:trHeight w:val="60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_ 10 _signal</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Pribnow盒；细菌转录单位起点上游约10bp处的保守区域,它可能参与结合RNA聚合酶;共有序列=TatAaT</w:t>
                  </w:r>
                </w:p>
              </w:tc>
            </w:tr>
            <w:tr w:rsidR="002539F3" w:rsidRPr="002539F3" w:rsidTr="002539F3">
              <w:trPr>
                <w:trHeight w:val="600"/>
                <w:tblCellSpacing w:w="0" w:type="dxa"/>
                <w:jc w:val="center"/>
              </w:trPr>
              <w:tc>
                <w:tcPr>
                  <w:tcW w:w="1993"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_ 35 _signal</w:t>
                  </w:r>
                </w:p>
              </w:tc>
              <w:tc>
                <w:tcPr>
                  <w:tcW w:w="6887" w:type="dxa"/>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0"/>
                      <w:szCs w:val="20"/>
                    </w:rPr>
                    <w:t>细菌转录单位起点上游约35bp处的保守六聚体；共有序列=TTGACa[]或TGTTGACA[]</w:t>
                  </w:r>
                </w:p>
              </w:tc>
            </w:tr>
          </w:tbl>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r w:rsidRPr="002539F3">
              <w:rPr>
                <w:rFonts w:ascii="宋体" w:eastAsia="宋体" w:hAnsi="宋体" w:cs="宋体" w:hint="eastAsia"/>
                <w:kern w:val="0"/>
                <w:sz w:val="24"/>
                <w:szCs w:val="24"/>
              </w:rPr>
              <w:t xml:space="preserve">　</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表6 与蛋白质序列相关的特征关键词表</w:t>
            </w:r>
          </w:p>
          <w:tbl>
            <w:tblPr>
              <w:tblW w:w="81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5"/>
              <w:gridCol w:w="5875"/>
            </w:tblGrid>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关键词</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说明</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CONFLICT</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不同的论文报道了不同的序列</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VARIANT</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作者报道存在序列变体</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VARSLIC</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由可选择的剪接产生的序列变体的表述</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MUTAGEN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经实验操作已改变的位点</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MOD_RES</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残基的翻译后修饰</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ACETYLATION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N－末端或其它</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AMIDATION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通常位于成熟的活性肽的C－末端</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BLOCKED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不能被测定的N－或C－末端封闭基团</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FORMYLATION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N－末端甲硫氨酸的</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GAMMA-CARBOXY-</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GLUTAMIC ACID</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HYDROXYLATION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天冬酰胺，天冬氨酸，脯氨酸或赖氨酸的</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METHYLATION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通常为赖氨酸或精氨酸的</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PHOSPHORYLATION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丝氨酸，苏氨酸，酪氨酸，天冬氨酸或组氨酸的</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PYRROLIDONE</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CARBOXYLICACID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已形成内部环内酰胺的N－末端谷氨酸</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SULFATATION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通常为酪氨酸的</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LIPID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脂质组成成分的共价结合</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MYRISTATE</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通过酰胺键与蛋白质成熟形式的N－末端甘氨酸残基或内部的赖氨酸残基结合的豆蔻酸基团</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PALMITATE</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通过硫酯键与半胱氨酸残基或通过酯键与丝氨酸或苏氨酸残基结合的棕榈酸基团</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FARNESYL</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通过硫酯键与半胱氨酸残基结合的法尼基</w:t>
                  </w:r>
                </w:p>
              </w:tc>
            </w:tr>
            <w:tr w:rsidR="002539F3" w:rsidRPr="002539F3">
              <w:trPr>
                <w:trHeight w:val="39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GERANYL-GERANYL</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通过硫酯键与半胱氨酸残基结合的香叶基－香叶基基团</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GPI＿ANCHOR</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与蛋白质成熟形式Ｃ－末端残基的α－羧基相连的糖基－磷脂酰肌醇（GPI）基团</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N＿ACYL</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DIGLYCERIDE</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原核生物脂蛋白成熟形式的N－末端半胱氨酸，所述脂蛋白具有酰胺－</w:t>
                  </w:r>
                  <w:proofErr w:type="gramStart"/>
                  <w:r w:rsidRPr="002539F3">
                    <w:rPr>
                      <w:rFonts w:ascii="宋体" w:eastAsia="宋体" w:hAnsi="宋体" w:cs="宋体" w:hint="eastAsia"/>
                      <w:kern w:val="0"/>
                      <w:sz w:val="20"/>
                      <w:szCs w:val="20"/>
                    </w:rPr>
                    <w:t>键联的</w:t>
                  </w:r>
                  <w:proofErr w:type="gramEnd"/>
                  <w:r w:rsidRPr="002539F3">
                    <w:rPr>
                      <w:rFonts w:ascii="宋体" w:eastAsia="宋体" w:hAnsi="宋体" w:cs="宋体" w:hint="eastAsia"/>
                      <w:kern w:val="0"/>
                      <w:sz w:val="20"/>
                      <w:szCs w:val="20"/>
                    </w:rPr>
                    <w:t>脂肪酸和通过酯键连接了两个脂肪酸的甘油基</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DISULFID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二硫键；“FROM”和“TO”终点表示通过一个链－内二硫键连接的两个残基；如果“FROM”和“TO”终点是完全相同的，则二硫键是链－间键，而说明书领域示出交联的性质</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THIOLEST</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硫醇酯键；“FROM”和“TO”终点表示通过硫醇酯键连接的两个残基</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THIOETH</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硫醚键；“FROM”和“TO”终点表示通</w:t>
                  </w:r>
                  <w:proofErr w:type="gramStart"/>
                  <w:r w:rsidRPr="002539F3">
                    <w:rPr>
                      <w:rFonts w:ascii="宋体" w:eastAsia="宋体" w:hAnsi="宋体" w:cs="宋体" w:hint="eastAsia"/>
                      <w:kern w:val="0"/>
                      <w:sz w:val="20"/>
                      <w:szCs w:val="20"/>
                    </w:rPr>
                    <w:t>过硫醚键连接</w:t>
                  </w:r>
                  <w:proofErr w:type="gramEnd"/>
                  <w:r w:rsidRPr="002539F3">
                    <w:rPr>
                      <w:rFonts w:ascii="宋体" w:eastAsia="宋体" w:hAnsi="宋体" w:cs="宋体" w:hint="eastAsia"/>
                      <w:kern w:val="0"/>
                      <w:sz w:val="20"/>
                      <w:szCs w:val="20"/>
                    </w:rPr>
                    <w:t>的两个残基</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CARBOHYD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糖基化位点；碳水化物（如果已知）的性质在说明书领域给出</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METAL</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金属离子的结合位点；说明书领域示出金属的性质</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BINDING</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任何化学基团（辅酶，辅基，等等）的结合位点；基团的化学性质在说明书领域给出</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SIGNAL</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信号序列的范围（前肽）</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TRANSIT</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运转肽的范围（线粒体，叶绿体或微体）</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PROPEP</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前肽的范围</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CHAIN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成熟蛋白质中多肽链的范围</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PEPTIDE</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被释放的活性肽的范围</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DOMAIN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序列中感兴趣的区域的范围；所述区域的特征在说明书领域给出</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CA＿BIND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钙－结合区域的范围</w:t>
                  </w:r>
                </w:p>
              </w:tc>
            </w:tr>
            <w:tr w:rsidR="002539F3" w:rsidRPr="002539F3">
              <w:trPr>
                <w:trHeight w:val="435"/>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DNA＿BIND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DNA-－结合区域的范围</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NP_BIND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核苷酸磷酸</w:t>
                  </w:r>
                  <w:proofErr w:type="gramStart"/>
                  <w:r w:rsidRPr="002539F3">
                    <w:rPr>
                      <w:rFonts w:ascii="宋体" w:eastAsia="宋体" w:hAnsi="宋体" w:cs="宋体" w:hint="eastAsia"/>
                      <w:kern w:val="0"/>
                      <w:sz w:val="20"/>
                      <w:szCs w:val="20"/>
                    </w:rPr>
                    <w:t>酯</w:t>
                  </w:r>
                  <w:proofErr w:type="gramEnd"/>
                  <w:r w:rsidRPr="002539F3">
                    <w:rPr>
                      <w:rFonts w:ascii="宋体" w:eastAsia="宋体" w:hAnsi="宋体" w:cs="宋体" w:hint="eastAsia"/>
                      <w:kern w:val="0"/>
                      <w:sz w:val="20"/>
                      <w:szCs w:val="20"/>
                    </w:rPr>
                    <w:t>结合区域；核苷酸磷酸酯的特征示于说明书领域</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TRANSMEM</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proofErr w:type="gramStart"/>
                  <w:r w:rsidRPr="002539F3">
                    <w:rPr>
                      <w:rFonts w:ascii="宋体" w:eastAsia="宋体" w:hAnsi="宋体" w:cs="宋体" w:hint="eastAsia"/>
                      <w:kern w:val="0"/>
                      <w:sz w:val="20"/>
                      <w:szCs w:val="20"/>
                    </w:rPr>
                    <w:t>转膜区域</w:t>
                  </w:r>
                  <w:proofErr w:type="gramEnd"/>
                  <w:r w:rsidRPr="002539F3">
                    <w:rPr>
                      <w:rFonts w:ascii="宋体" w:eastAsia="宋体" w:hAnsi="宋体" w:cs="宋体" w:hint="eastAsia"/>
                      <w:kern w:val="0"/>
                      <w:sz w:val="20"/>
                      <w:szCs w:val="20"/>
                    </w:rPr>
                    <w:t>的范围</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ZN_FING</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proofErr w:type="gramStart"/>
                  <w:r w:rsidRPr="002539F3">
                    <w:rPr>
                      <w:rFonts w:ascii="宋体" w:eastAsia="宋体" w:hAnsi="宋体" w:cs="宋体" w:hint="eastAsia"/>
                      <w:kern w:val="0"/>
                      <w:sz w:val="20"/>
                      <w:szCs w:val="20"/>
                    </w:rPr>
                    <w:t>锌指区域</w:t>
                  </w:r>
                  <w:proofErr w:type="gramEnd"/>
                  <w:r w:rsidRPr="002539F3">
                    <w:rPr>
                      <w:rFonts w:ascii="宋体" w:eastAsia="宋体" w:hAnsi="宋体" w:cs="宋体" w:hint="eastAsia"/>
                      <w:kern w:val="0"/>
                      <w:sz w:val="20"/>
                      <w:szCs w:val="20"/>
                    </w:rPr>
                    <w:t>的范围</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SIMILAR</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与另一个蛋白质序列具有相似性的区域；与那个序列有关的精确的资料在说明书领域给出</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REPEAT</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内部序列重复的范围</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HELIX</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二级结构；螺旋，例如α－螺旋，３（10）螺旋，或Pi-螺旋</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STRAND</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二级结构；β－链，例如氢键连接的β－链，或分离的β－桥中的残基</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TURN</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二级结构转角，例如Ｈ－键连的转角（３－转角，４－转角或５－转角）</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ACT_SITE</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涉及酶活性的氨基酸</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SITE</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序列中任何其它感兴趣的位点</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INIT_MET</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已知序列以起始密码子甲硫氨酸开始</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NON_TER</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序列末端的残基不是末端残基；如果应用</w:t>
                  </w:r>
                  <w:proofErr w:type="gramStart"/>
                  <w:r w:rsidRPr="002539F3">
                    <w:rPr>
                      <w:rFonts w:ascii="宋体" w:eastAsia="宋体" w:hAnsi="宋体" w:cs="宋体" w:hint="eastAsia"/>
                      <w:kern w:val="0"/>
                      <w:sz w:val="20"/>
                      <w:szCs w:val="20"/>
                    </w:rPr>
                    <w:t>于位置</w:t>
                  </w:r>
                  <w:proofErr w:type="gramEnd"/>
                  <w:r w:rsidRPr="002539F3">
                    <w:rPr>
                      <w:rFonts w:ascii="宋体" w:eastAsia="宋体" w:hAnsi="宋体" w:cs="宋体" w:hint="eastAsia"/>
                      <w:kern w:val="0"/>
                      <w:sz w:val="20"/>
                      <w:szCs w:val="20"/>
                    </w:rPr>
                    <w:t>１，这表示第一个位置不是完整分子的Ｎ－末端；如果应用于最后一个位置，这表示此位置不是完整分子的Ｃ－末端；对此关键词没有说明书领域</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NON_CONS</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非连串残基；表示序列中的两个残基不是连串的，在它们之间有</w:t>
                  </w:r>
                  <w:proofErr w:type="gramStart"/>
                  <w:r w:rsidRPr="002539F3">
                    <w:rPr>
                      <w:rFonts w:ascii="宋体" w:eastAsia="宋体" w:hAnsi="宋体" w:cs="宋体" w:hint="eastAsia"/>
                      <w:kern w:val="0"/>
                      <w:sz w:val="20"/>
                      <w:szCs w:val="20"/>
                    </w:rPr>
                    <w:t>很多末</w:t>
                  </w:r>
                  <w:proofErr w:type="gramEnd"/>
                  <w:r w:rsidRPr="002539F3">
                    <w:rPr>
                      <w:rFonts w:ascii="宋体" w:eastAsia="宋体" w:hAnsi="宋体" w:cs="宋体" w:hint="eastAsia"/>
                      <w:kern w:val="0"/>
                      <w:sz w:val="20"/>
                      <w:szCs w:val="20"/>
                    </w:rPr>
                    <w:t>测序的残基</w:t>
                  </w:r>
                </w:p>
              </w:tc>
            </w:tr>
            <w:tr w:rsidR="002539F3" w:rsidRPr="002539F3">
              <w:trPr>
                <w:trHeight w:val="510"/>
                <w:tblCellSpacing w:w="0" w:type="dxa"/>
                <w:jc w:val="center"/>
              </w:trPr>
              <w:tc>
                <w:tcPr>
                  <w:tcW w:w="14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UNSURE</w:t>
                  </w:r>
                </w:p>
              </w:tc>
              <w:tc>
                <w:tcPr>
                  <w:tcW w:w="3600" w:type="pct"/>
                  <w:tcBorders>
                    <w:top w:val="outset" w:sz="6" w:space="0" w:color="auto"/>
                    <w:left w:val="outset" w:sz="6" w:space="0" w:color="auto"/>
                    <w:bottom w:val="outset" w:sz="6" w:space="0" w:color="auto"/>
                    <w:right w:val="outset" w:sz="6" w:space="0" w:color="auto"/>
                  </w:tcBorders>
                  <w:hideMark/>
                </w:tcPr>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序列的不确定性；用于表述不能确定序列排列的序列区域</w:t>
                  </w:r>
                </w:p>
              </w:tc>
            </w:tr>
          </w:tbl>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4"/>
                <w:szCs w:val="24"/>
              </w:rPr>
              <w:lastRenderedPageBreak/>
              <w:t xml:space="preserve">　</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4"/>
                <w:szCs w:val="24"/>
              </w:rPr>
              <w:t xml:space="preserve">　</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 xml:space="preserve">附录2： </w:t>
            </w:r>
          </w:p>
          <w:p w:rsidR="002539F3" w:rsidRPr="002539F3" w:rsidRDefault="002539F3" w:rsidP="002539F3">
            <w:pPr>
              <w:widowControl/>
              <w:spacing w:before="100" w:beforeAutospacing="1" w:after="100" w:afterAutospacing="1"/>
              <w:jc w:val="center"/>
              <w:rPr>
                <w:rFonts w:ascii="宋体" w:eastAsia="宋体" w:hAnsi="宋体" w:cs="宋体"/>
                <w:kern w:val="0"/>
                <w:sz w:val="24"/>
                <w:szCs w:val="24"/>
              </w:rPr>
            </w:pPr>
            <w:proofErr w:type="gramStart"/>
            <w:r w:rsidRPr="002539F3">
              <w:rPr>
                <w:rFonts w:ascii="宋体" w:eastAsia="宋体" w:hAnsi="宋体" w:cs="宋体" w:hint="eastAsia"/>
                <w:b/>
                <w:bCs/>
                <w:kern w:val="0"/>
                <w:sz w:val="24"/>
                <w:szCs w:val="24"/>
              </w:rPr>
              <w:t>序列表样例</w:t>
            </w:r>
            <w:proofErr w:type="gramEnd"/>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4"/>
                <w:szCs w:val="24"/>
              </w:rPr>
              <w:t xml:space="preserve">　</w:t>
            </w:r>
          </w:p>
          <w:p w:rsidR="002539F3" w:rsidRPr="002539F3" w:rsidRDefault="002539F3" w:rsidP="002539F3">
            <w:pPr>
              <w:widowControl/>
              <w:spacing w:before="100" w:beforeAutospacing="1" w:after="100" w:afterAutospacing="1"/>
              <w:jc w:val="left"/>
              <w:rPr>
                <w:rFonts w:ascii="宋体" w:eastAsia="宋体" w:hAnsi="宋体" w:cs="宋体" w:hint="eastAsia"/>
                <w:kern w:val="0"/>
                <w:sz w:val="24"/>
                <w:szCs w:val="24"/>
              </w:rPr>
            </w:pPr>
            <w:r w:rsidRPr="002539F3">
              <w:rPr>
                <w:rFonts w:ascii="宋体" w:eastAsia="宋体" w:hAnsi="宋体" w:cs="宋体" w:hint="eastAsia"/>
                <w:kern w:val="0"/>
                <w:sz w:val="20"/>
                <w:szCs w:val="20"/>
              </w:rPr>
              <w:t xml:space="preserve">&lt;110&gt; ××基因开发有限公司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&lt;120&gt; </w:t>
            </w:r>
            <w:proofErr w:type="gramStart"/>
            <w:r w:rsidRPr="002539F3">
              <w:rPr>
                <w:rFonts w:ascii="宋体" w:eastAsia="宋体" w:hAnsi="宋体" w:cs="宋体" w:hint="eastAsia"/>
                <w:kern w:val="0"/>
                <w:sz w:val="20"/>
                <w:szCs w:val="20"/>
              </w:rPr>
              <w:t>序列表样例</w:t>
            </w:r>
            <w:proofErr w:type="gramEnd"/>
            <w:r w:rsidRPr="002539F3">
              <w:rPr>
                <w:rFonts w:ascii="宋体" w:eastAsia="宋体" w:hAnsi="宋体" w:cs="宋体" w:hint="eastAsia"/>
                <w:kern w:val="0"/>
                <w:sz w:val="20"/>
                <w:szCs w:val="20"/>
              </w:rPr>
              <w:t xml:space="preserve">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&lt;160&gt; 3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&lt;170&gt; PatentIn Version 2.1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&lt;210&gt; 1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&lt;211&gt; 389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&lt;212&gt; DNA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&lt;213&gt; 草履虫种（Paramecium sp.）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&lt;220&gt;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&lt;221&gt; misc_feature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&lt;222&gt; (80,100,112)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&lt;223&gt; n =a或g或c或t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&lt;220&gt;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&lt;221&gt; CDS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&lt;222&gt; (</w:t>
            </w:r>
            <w:proofErr w:type="gramStart"/>
            <w:r w:rsidRPr="002539F3">
              <w:rPr>
                <w:rFonts w:ascii="宋体" w:eastAsia="宋体" w:hAnsi="宋体" w:cs="宋体" w:hint="eastAsia"/>
                <w:kern w:val="0"/>
                <w:sz w:val="20"/>
                <w:szCs w:val="20"/>
              </w:rPr>
              <w:t>279)...</w:t>
            </w:r>
            <w:proofErr w:type="gramEnd"/>
            <w:r w:rsidRPr="002539F3">
              <w:rPr>
                <w:rFonts w:ascii="宋体" w:eastAsia="宋体" w:hAnsi="宋体" w:cs="宋体" w:hint="eastAsia"/>
                <w:kern w:val="0"/>
                <w:sz w:val="20"/>
                <w:szCs w:val="20"/>
              </w:rPr>
              <w:t xml:space="preserve">(389)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&lt;400&gt; 1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agctgtagtc attcctgtgt cctcttctct ctgggcttct caccctgcta atcagatctc 60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agggagagtg tcttgacccn cctctgcctt tgcagcttcn caggcaggca gncaggcagc 120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 xml:space="preserve">tgatgtggca attgctggca gtgccacagg cttttcagcc aggcttaggg tgggttccgc 180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cgcggcgcgg cggcccctct cgcgctcctc tcgcgcctct ctctcgctct cctctcgctc 240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ggacctgatt aggtgagcag gaggaggggg cagttagc atg gtt tca atg ttc agc 296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Met Val Ser Met Phe Ser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1 5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ttg tct ttc aaa tgg cct gga ttt tgt ttg ttt gtt tgt ttg ttc caa 344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Leu Ser Phe Lys Trp Pro Gly Phe Cys Leu Phe Val Cys Leu Phe Gln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10 15 20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tgt ccc aaa gtc ctc ccc tgt cac tca tca ctg cag ccg aat ctt 389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Cys Pro Lys Val Leu Pro Cys His Ser Ser Leu Gln Pro Asn Leu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25 30 35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&lt;210&gt; 2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&lt;211&gt; 37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&lt;212&gt; PRT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&lt;213&gt; 草履虫种（Paramecium sp.）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&lt;400&gt; 2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Met Val Ser Met Phe Ser Leu Ser Phe Lys Trp Pro Gly Phe Cys Leu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1 5 10 15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Phe Val Cys Leu Phe Gln Cys Pro Lys Val Leu Pro Cys His Ser Ser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20 25 30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Leu Gln Pro Asn Leu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35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lastRenderedPageBreak/>
              <w:t xml:space="preserve">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&lt;210&gt; 3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&lt;211&gt; 11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&lt;212&gt; PRT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&lt;213&gt; 人工序列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&lt;220&gt;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&lt;223&gt; 根据大小和极性而设计，以用作XYZ蛋白的α和β链之间的接头的肽。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&lt;400&gt; 3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Met Val Asn Leu Glu Pro Met His Thr Glu Ile </w:t>
            </w:r>
          </w:p>
          <w:p w:rsidR="002539F3" w:rsidRPr="002539F3" w:rsidRDefault="002539F3" w:rsidP="002539F3">
            <w:pPr>
              <w:widowControl/>
              <w:spacing w:before="100" w:beforeAutospacing="1" w:after="100" w:afterAutospacing="1"/>
              <w:jc w:val="left"/>
              <w:rPr>
                <w:rFonts w:ascii="宋体" w:eastAsia="宋体" w:hAnsi="宋体" w:cs="宋体"/>
                <w:kern w:val="0"/>
                <w:sz w:val="24"/>
                <w:szCs w:val="24"/>
              </w:rPr>
            </w:pPr>
            <w:r w:rsidRPr="002539F3">
              <w:rPr>
                <w:rFonts w:ascii="宋体" w:eastAsia="宋体" w:hAnsi="宋体" w:cs="宋体" w:hint="eastAsia"/>
                <w:kern w:val="0"/>
                <w:sz w:val="20"/>
                <w:szCs w:val="20"/>
              </w:rPr>
              <w:t xml:space="preserve">1 5 10 </w:t>
            </w:r>
          </w:p>
        </w:tc>
      </w:tr>
    </w:tbl>
    <w:p w:rsidR="002539F3" w:rsidRPr="002539F3" w:rsidRDefault="002539F3" w:rsidP="002539F3">
      <w:pPr>
        <w:widowControl/>
        <w:jc w:val="left"/>
        <w:rPr>
          <w:rFonts w:ascii="宋体" w:eastAsia="宋体" w:hAnsi="宋体" w:cs="宋体"/>
          <w:color w:val="0000FF"/>
          <w:kern w:val="0"/>
          <w:sz w:val="24"/>
          <w:szCs w:val="24"/>
          <w:u w:val="single"/>
        </w:rPr>
      </w:pPr>
      <w:r w:rsidRPr="002539F3">
        <w:rPr>
          <w:rFonts w:ascii="宋体" w:eastAsia="宋体" w:hAnsi="宋体" w:cs="宋体"/>
          <w:kern w:val="0"/>
          <w:sz w:val="24"/>
          <w:szCs w:val="24"/>
        </w:rPr>
        <w:lastRenderedPageBreak/>
        <w:fldChar w:fldCharType="begin"/>
      </w:r>
      <w:r w:rsidRPr="002539F3">
        <w:rPr>
          <w:rFonts w:ascii="宋体" w:eastAsia="宋体" w:hAnsi="宋体" w:cs="宋体"/>
          <w:kern w:val="0"/>
          <w:sz w:val="24"/>
          <w:szCs w:val="24"/>
        </w:rPr>
        <w:instrText xml:space="preserve"> HYPERLINK "http://share.gwd.gov.cn/" \t "_blank" </w:instrText>
      </w:r>
      <w:r w:rsidRPr="002539F3">
        <w:rPr>
          <w:rFonts w:ascii="宋体" w:eastAsia="宋体" w:hAnsi="宋体" w:cs="宋体"/>
          <w:kern w:val="0"/>
          <w:sz w:val="24"/>
          <w:szCs w:val="24"/>
        </w:rPr>
        <w:fldChar w:fldCharType="separate"/>
      </w:r>
    </w:p>
    <w:p w:rsidR="002539F3" w:rsidRPr="002539F3" w:rsidRDefault="002539F3" w:rsidP="002539F3">
      <w:pPr>
        <w:widowControl/>
        <w:jc w:val="left"/>
        <w:rPr>
          <w:rFonts w:ascii="宋体" w:eastAsia="宋体" w:hAnsi="宋体" w:cs="宋体"/>
          <w:kern w:val="0"/>
          <w:sz w:val="24"/>
          <w:szCs w:val="24"/>
        </w:rPr>
      </w:pPr>
      <w:r w:rsidRPr="002539F3">
        <w:rPr>
          <w:rFonts w:ascii="宋体" w:eastAsia="宋体" w:hAnsi="宋体" w:cs="宋体"/>
          <w:kern w:val="0"/>
          <w:sz w:val="24"/>
          <w:szCs w:val="24"/>
        </w:rPr>
        <w:fldChar w:fldCharType="end"/>
      </w:r>
    </w:p>
    <w:p w:rsidR="00F84C41" w:rsidRDefault="00F84C41">
      <w:pPr>
        <w:rPr>
          <w:rFonts w:hint="eastAsia"/>
        </w:rPr>
      </w:pPr>
    </w:p>
    <w:sectPr w:rsidR="00F84C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20629"/>
    <w:multiLevelType w:val="multilevel"/>
    <w:tmpl w:val="1F8E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D0"/>
    <w:rsid w:val="002539F3"/>
    <w:rsid w:val="00460CD0"/>
    <w:rsid w:val="00F84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3C6C"/>
  <w15:chartTrackingRefBased/>
  <w15:docId w15:val="{710CCDE8-A375-4991-B87B-187267B9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539F3"/>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2539F3"/>
    <w:rPr>
      <w:color w:val="0000FF"/>
      <w:u w:val="single"/>
    </w:rPr>
  </w:style>
  <w:style w:type="character" w:styleId="a4">
    <w:name w:val="FollowedHyperlink"/>
    <w:basedOn w:val="a0"/>
    <w:uiPriority w:val="99"/>
    <w:semiHidden/>
    <w:unhideWhenUsed/>
    <w:rsid w:val="002539F3"/>
    <w:rPr>
      <w:color w:val="800080"/>
      <w:u w:val="single"/>
    </w:rPr>
  </w:style>
  <w:style w:type="character" w:customStyle="1" w:styleId="indextime">
    <w:name w:val="index_time"/>
    <w:basedOn w:val="a0"/>
    <w:rsid w:val="002539F3"/>
  </w:style>
  <w:style w:type="character" w:customStyle="1" w:styleId="indexauthor">
    <w:name w:val="index_author"/>
    <w:basedOn w:val="a0"/>
    <w:rsid w:val="002539F3"/>
  </w:style>
  <w:style w:type="character" w:customStyle="1" w:styleId="indexswitchsize">
    <w:name w:val="index_switchsize"/>
    <w:basedOn w:val="a0"/>
    <w:rsid w:val="002539F3"/>
  </w:style>
  <w:style w:type="paragraph" w:styleId="a5">
    <w:name w:val="Normal (Web)"/>
    <w:basedOn w:val="a"/>
    <w:uiPriority w:val="99"/>
    <w:semiHidden/>
    <w:unhideWhenUsed/>
    <w:rsid w:val="002539F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539F3"/>
    <w:rPr>
      <w:b/>
      <w:bCs/>
    </w:rPr>
  </w:style>
  <w:style w:type="character" w:customStyle="1" w:styleId="gwdsmore">
    <w:name w:val="gwds_more"/>
    <w:basedOn w:val="a0"/>
    <w:rsid w:val="00253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33236">
      <w:bodyDiv w:val="1"/>
      <w:marLeft w:val="0"/>
      <w:marRight w:val="0"/>
      <w:marTop w:val="0"/>
      <w:marBottom w:val="0"/>
      <w:divBdr>
        <w:top w:val="none" w:sz="0" w:space="0" w:color="auto"/>
        <w:left w:val="none" w:sz="0" w:space="0" w:color="auto"/>
        <w:bottom w:val="none" w:sz="0" w:space="0" w:color="auto"/>
        <w:right w:val="none" w:sz="0" w:space="0" w:color="auto"/>
      </w:divBdr>
      <w:divsChild>
        <w:div w:id="619802467">
          <w:marLeft w:val="0"/>
          <w:marRight w:val="0"/>
          <w:marTop w:val="0"/>
          <w:marBottom w:val="0"/>
          <w:divBdr>
            <w:top w:val="none" w:sz="0" w:space="0" w:color="auto"/>
            <w:left w:val="none" w:sz="0" w:space="0" w:color="auto"/>
            <w:bottom w:val="none" w:sz="0" w:space="0" w:color="auto"/>
            <w:right w:val="none" w:sz="0" w:space="0" w:color="auto"/>
          </w:divBdr>
          <w:divsChild>
            <w:div w:id="1057555140">
              <w:marLeft w:val="0"/>
              <w:marRight w:val="0"/>
              <w:marTop w:val="0"/>
              <w:marBottom w:val="0"/>
              <w:divBdr>
                <w:top w:val="none" w:sz="0" w:space="0" w:color="auto"/>
                <w:left w:val="none" w:sz="0" w:space="0" w:color="auto"/>
                <w:bottom w:val="none" w:sz="0" w:space="0" w:color="auto"/>
                <w:right w:val="none" w:sz="0" w:space="0" w:color="auto"/>
              </w:divBdr>
              <w:divsChild>
                <w:div w:id="553779852">
                  <w:marLeft w:val="0"/>
                  <w:marRight w:val="0"/>
                  <w:marTop w:val="0"/>
                  <w:marBottom w:val="0"/>
                  <w:divBdr>
                    <w:top w:val="none" w:sz="0" w:space="0" w:color="auto"/>
                    <w:left w:val="none" w:sz="0" w:space="0" w:color="auto"/>
                    <w:bottom w:val="none" w:sz="0" w:space="0" w:color="auto"/>
                    <w:right w:val="none" w:sz="0" w:space="0" w:color="auto"/>
                  </w:divBdr>
                  <w:divsChild>
                    <w:div w:id="2003192818">
                      <w:marLeft w:val="0"/>
                      <w:marRight w:val="0"/>
                      <w:marTop w:val="0"/>
                      <w:marBottom w:val="0"/>
                      <w:divBdr>
                        <w:top w:val="none" w:sz="0" w:space="0" w:color="auto"/>
                        <w:left w:val="none" w:sz="0" w:space="0" w:color="auto"/>
                        <w:bottom w:val="none" w:sz="0" w:space="0" w:color="auto"/>
                        <w:right w:val="none" w:sz="0" w:space="0" w:color="auto"/>
                      </w:divBdr>
                    </w:div>
                  </w:divsChild>
                </w:div>
                <w:div w:id="2097550753">
                  <w:marLeft w:val="0"/>
                  <w:marRight w:val="0"/>
                  <w:marTop w:val="0"/>
                  <w:marBottom w:val="0"/>
                  <w:divBdr>
                    <w:top w:val="none" w:sz="0" w:space="0" w:color="auto"/>
                    <w:left w:val="none" w:sz="0" w:space="0" w:color="auto"/>
                    <w:bottom w:val="none" w:sz="0" w:space="0" w:color="auto"/>
                    <w:right w:val="none" w:sz="0" w:space="0" w:color="auto"/>
                  </w:divBdr>
                  <w:divsChild>
                    <w:div w:id="1562256582">
                      <w:marLeft w:val="0"/>
                      <w:marRight w:val="0"/>
                      <w:marTop w:val="0"/>
                      <w:marBottom w:val="0"/>
                      <w:divBdr>
                        <w:top w:val="none" w:sz="0" w:space="0" w:color="auto"/>
                        <w:left w:val="none" w:sz="0" w:space="0" w:color="auto"/>
                        <w:bottom w:val="none" w:sz="0" w:space="0" w:color="auto"/>
                        <w:right w:val="none" w:sz="0" w:space="0" w:color="auto"/>
                      </w:divBdr>
                      <w:divsChild>
                        <w:div w:id="840706015">
                          <w:marLeft w:val="0"/>
                          <w:marRight w:val="0"/>
                          <w:marTop w:val="0"/>
                          <w:marBottom w:val="0"/>
                          <w:divBdr>
                            <w:top w:val="none" w:sz="0" w:space="0" w:color="auto"/>
                            <w:left w:val="none" w:sz="0" w:space="0" w:color="auto"/>
                            <w:bottom w:val="none" w:sz="0" w:space="0" w:color="auto"/>
                            <w:right w:val="none" w:sz="0" w:space="0" w:color="auto"/>
                          </w:divBdr>
                        </w:div>
                        <w:div w:id="1011293972">
                          <w:marLeft w:val="0"/>
                          <w:marRight w:val="0"/>
                          <w:marTop w:val="0"/>
                          <w:marBottom w:val="0"/>
                          <w:divBdr>
                            <w:top w:val="none" w:sz="0" w:space="0" w:color="auto"/>
                            <w:left w:val="none" w:sz="0" w:space="0" w:color="auto"/>
                            <w:bottom w:val="none" w:sz="0" w:space="0" w:color="auto"/>
                            <w:right w:val="none" w:sz="0" w:space="0" w:color="auto"/>
                          </w:divBdr>
                        </w:div>
                      </w:divsChild>
                    </w:div>
                    <w:div w:id="184904324">
                      <w:marLeft w:val="0"/>
                      <w:marRight w:val="0"/>
                      <w:marTop w:val="0"/>
                      <w:marBottom w:val="0"/>
                      <w:divBdr>
                        <w:top w:val="none" w:sz="0" w:space="0" w:color="auto"/>
                        <w:left w:val="none" w:sz="0" w:space="0" w:color="auto"/>
                        <w:bottom w:val="none" w:sz="0" w:space="0" w:color="auto"/>
                        <w:right w:val="none" w:sz="0" w:space="0" w:color="auto"/>
                      </w:divBdr>
                    </w:div>
                    <w:div w:id="1302732979">
                      <w:marLeft w:val="0"/>
                      <w:marRight w:val="0"/>
                      <w:marTop w:val="0"/>
                      <w:marBottom w:val="0"/>
                      <w:divBdr>
                        <w:top w:val="none" w:sz="0" w:space="0" w:color="auto"/>
                        <w:left w:val="none" w:sz="0" w:space="0" w:color="auto"/>
                        <w:bottom w:val="none" w:sz="0" w:space="0" w:color="auto"/>
                        <w:right w:val="none" w:sz="0" w:space="0" w:color="auto"/>
                      </w:divBdr>
                      <w:divsChild>
                        <w:div w:id="5853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po.gov.cn/sipo/flfg/bz/patentin33.zip"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2016-04-07T05:42:00Z</dcterms:created>
  <dcterms:modified xsi:type="dcterms:W3CDTF">2016-04-07T05:44:00Z</dcterms:modified>
</cp:coreProperties>
</file>